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53FE36FE" w:rsidR="00992E96" w:rsidRPr="00BB212B" w:rsidRDefault="00614062" w:rsidP="007977F7">
      <w:pPr>
        <w:pStyle w:val="LGAItemNoHeading"/>
        <w:spacing w:before="240"/>
        <w:jc w:val="both"/>
        <w:rPr>
          <w:rFonts w:ascii="Arial" w:hAnsi="Arial" w:cs="Arial"/>
          <w:sz w:val="28"/>
          <w:szCs w:val="28"/>
        </w:rPr>
      </w:pPr>
      <w:r>
        <w:rPr>
          <w:rFonts w:ascii="Arial" w:hAnsi="Arial" w:cs="Arial"/>
          <w:sz w:val="28"/>
          <w:szCs w:val="28"/>
        </w:rPr>
        <w:t xml:space="preserve">Provisional </w:t>
      </w:r>
      <w:r w:rsidR="00F10CE9">
        <w:rPr>
          <w:rFonts w:ascii="Arial" w:hAnsi="Arial" w:cs="Arial"/>
          <w:sz w:val="28"/>
          <w:szCs w:val="28"/>
        </w:rPr>
        <w:t>2019/20</w:t>
      </w:r>
      <w:r w:rsidR="00266A9A">
        <w:rPr>
          <w:rFonts w:ascii="Arial" w:hAnsi="Arial" w:cs="Arial"/>
          <w:sz w:val="28"/>
          <w:szCs w:val="28"/>
        </w:rPr>
        <w:t xml:space="preserve"> Local Government Finance S</w:t>
      </w:r>
      <w:r>
        <w:rPr>
          <w:rFonts w:ascii="Arial" w:hAnsi="Arial" w:cs="Arial"/>
          <w:sz w:val="28"/>
          <w:szCs w:val="28"/>
        </w:rPr>
        <w:t>ettlement</w:t>
      </w:r>
    </w:p>
    <w:p w14:paraId="3E832265" w14:textId="28659793" w:rsidR="00992E96" w:rsidRDefault="0052564C" w:rsidP="007977F7">
      <w:pPr>
        <w:pStyle w:val="MainText"/>
        <w:spacing w:line="240" w:lineRule="auto"/>
        <w:jc w:val="both"/>
        <w:rPr>
          <w:rFonts w:ascii="Arial" w:hAnsi="Arial" w:cs="Arial"/>
          <w:b/>
          <w:szCs w:val="22"/>
        </w:rPr>
      </w:pPr>
      <w:r>
        <w:rPr>
          <w:rFonts w:ascii="Arial" w:hAnsi="Arial" w:cs="Arial"/>
          <w:b/>
          <w:szCs w:val="22"/>
        </w:rPr>
        <w:t>Purpose</w:t>
      </w:r>
    </w:p>
    <w:p w14:paraId="70D14C36" w14:textId="77777777" w:rsidR="0052564C" w:rsidRDefault="0052564C" w:rsidP="007977F7">
      <w:pPr>
        <w:pStyle w:val="MainText"/>
        <w:spacing w:line="240" w:lineRule="auto"/>
        <w:jc w:val="both"/>
        <w:rPr>
          <w:rFonts w:ascii="Arial" w:hAnsi="Arial" w:cs="Arial"/>
          <w:b/>
          <w:szCs w:val="22"/>
        </w:rPr>
      </w:pPr>
    </w:p>
    <w:p w14:paraId="3E832267" w14:textId="035493C6"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szCs w:val="22"/>
        </w:rPr>
        <w:t xml:space="preserve">For </w:t>
      </w:r>
      <w:r>
        <w:rPr>
          <w:rFonts w:ascii="Arial" w:hAnsi="Arial" w:cs="Arial"/>
          <w:szCs w:val="22"/>
        </w:rPr>
        <w:t xml:space="preserve">information </w:t>
      </w:r>
      <w:r w:rsidR="00765850" w:rsidRPr="00765850">
        <w:rPr>
          <w:rFonts w:ascii="Arial" w:hAnsi="Arial" w:cs="Arial"/>
          <w:szCs w:val="22"/>
        </w:rPr>
        <w:t>and</w:t>
      </w:r>
      <w:r w:rsidR="00765850">
        <w:rPr>
          <w:rFonts w:ascii="Arial" w:hAnsi="Arial" w:cs="Arial"/>
          <w:i/>
          <w:szCs w:val="22"/>
        </w:rPr>
        <w:t xml:space="preserve"> </w:t>
      </w:r>
      <w:r w:rsidRPr="0021114E">
        <w:rPr>
          <w:rFonts w:ascii="Arial" w:hAnsi="Arial" w:cs="Arial"/>
          <w:szCs w:val="22"/>
        </w:rPr>
        <w:t>discussion</w:t>
      </w:r>
      <w:r>
        <w:rPr>
          <w:rFonts w:ascii="Arial" w:hAnsi="Arial" w:cs="Arial"/>
          <w:szCs w:val="22"/>
        </w:rPr>
        <w:t>.</w:t>
      </w: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Default="00992E96" w:rsidP="007977F7">
      <w:pPr>
        <w:pStyle w:val="MainText"/>
        <w:spacing w:line="240" w:lineRule="auto"/>
        <w:jc w:val="both"/>
        <w:rPr>
          <w:rFonts w:ascii="Arial" w:hAnsi="Arial" w:cs="Arial"/>
          <w:b/>
          <w:szCs w:val="22"/>
        </w:rPr>
      </w:pPr>
      <w:r w:rsidRPr="0021114E">
        <w:rPr>
          <w:rFonts w:ascii="Arial" w:hAnsi="Arial" w:cs="Arial"/>
          <w:b/>
          <w:szCs w:val="22"/>
        </w:rPr>
        <w:t>Summary</w:t>
      </w:r>
    </w:p>
    <w:p w14:paraId="4EE8EF7C" w14:textId="77777777" w:rsidR="0052564C" w:rsidRPr="0021114E" w:rsidRDefault="0052564C" w:rsidP="007977F7">
      <w:pPr>
        <w:pStyle w:val="MainText"/>
        <w:spacing w:line="240" w:lineRule="auto"/>
        <w:jc w:val="both"/>
        <w:rPr>
          <w:rFonts w:ascii="Arial" w:hAnsi="Arial" w:cs="Arial"/>
          <w:szCs w:val="22"/>
        </w:rPr>
      </w:pPr>
    </w:p>
    <w:p w14:paraId="3E83226C" w14:textId="616EA904" w:rsidR="00992E96" w:rsidRPr="00765850" w:rsidRDefault="00F53361" w:rsidP="007977F7">
      <w:pPr>
        <w:pStyle w:val="MainText"/>
        <w:spacing w:line="240" w:lineRule="auto"/>
        <w:jc w:val="both"/>
        <w:rPr>
          <w:rFonts w:ascii="Arial" w:hAnsi="Arial" w:cs="Arial"/>
          <w:szCs w:val="22"/>
        </w:rPr>
      </w:pPr>
      <w:r>
        <w:rPr>
          <w:rFonts w:ascii="Arial" w:hAnsi="Arial" w:cs="Arial"/>
          <w:szCs w:val="22"/>
        </w:rPr>
        <w:t>This report provides an update on the</w:t>
      </w:r>
      <w:r w:rsidR="00071400">
        <w:rPr>
          <w:rFonts w:ascii="Arial" w:hAnsi="Arial" w:cs="Arial"/>
          <w:szCs w:val="22"/>
        </w:rPr>
        <w:t xml:space="preserve"> </w:t>
      </w:r>
      <w:r w:rsidR="00F10CE9">
        <w:rPr>
          <w:rFonts w:ascii="Arial" w:hAnsi="Arial" w:cs="Arial"/>
          <w:szCs w:val="22"/>
        </w:rPr>
        <w:t>2019/20</w:t>
      </w:r>
      <w:r w:rsidR="00B81738">
        <w:rPr>
          <w:rFonts w:ascii="Arial" w:hAnsi="Arial" w:cs="Arial"/>
          <w:szCs w:val="22"/>
        </w:rPr>
        <w:t xml:space="preserve"> Provisional L</w:t>
      </w:r>
      <w:r w:rsidR="00E1577D">
        <w:rPr>
          <w:rFonts w:ascii="Arial" w:hAnsi="Arial" w:cs="Arial"/>
          <w:szCs w:val="22"/>
        </w:rPr>
        <w:t xml:space="preserve">ocal </w:t>
      </w:r>
      <w:r w:rsidR="00B81738">
        <w:rPr>
          <w:rFonts w:ascii="Arial" w:hAnsi="Arial" w:cs="Arial"/>
          <w:szCs w:val="22"/>
        </w:rPr>
        <w:t>G</w:t>
      </w:r>
      <w:r w:rsidR="00E1577D">
        <w:rPr>
          <w:rFonts w:ascii="Arial" w:hAnsi="Arial" w:cs="Arial"/>
          <w:szCs w:val="22"/>
        </w:rPr>
        <w:t xml:space="preserve">overnment </w:t>
      </w:r>
      <w:r w:rsidR="00B81738">
        <w:rPr>
          <w:rFonts w:ascii="Arial" w:hAnsi="Arial" w:cs="Arial"/>
          <w:szCs w:val="22"/>
        </w:rPr>
        <w:t>F</w:t>
      </w:r>
      <w:r w:rsidR="00071400">
        <w:rPr>
          <w:rFonts w:ascii="Arial" w:hAnsi="Arial" w:cs="Arial"/>
          <w:szCs w:val="22"/>
        </w:rPr>
        <w:t xml:space="preserve">inance </w:t>
      </w:r>
      <w:r w:rsidR="00B81738">
        <w:rPr>
          <w:rFonts w:ascii="Arial" w:hAnsi="Arial" w:cs="Arial"/>
          <w:szCs w:val="22"/>
        </w:rPr>
        <w:t>S</w:t>
      </w:r>
      <w:r w:rsidR="00071400">
        <w:rPr>
          <w:rFonts w:ascii="Arial" w:hAnsi="Arial" w:cs="Arial"/>
          <w:szCs w:val="22"/>
        </w:rPr>
        <w:t>ettlement</w:t>
      </w:r>
      <w:r w:rsidR="002B1498">
        <w:rPr>
          <w:rFonts w:ascii="Arial" w:hAnsi="Arial" w:cs="Arial"/>
          <w:szCs w:val="22"/>
        </w:rPr>
        <w:t xml:space="preserve"> announced by the Government on </w:t>
      </w:r>
      <w:r w:rsidR="00F10CE9">
        <w:rPr>
          <w:rFonts w:ascii="Arial" w:hAnsi="Arial" w:cs="Arial"/>
          <w:szCs w:val="22"/>
        </w:rPr>
        <w:t>13</w:t>
      </w:r>
      <w:r w:rsidR="002B1498" w:rsidRPr="00B63540">
        <w:rPr>
          <w:rFonts w:ascii="Arial" w:hAnsi="Arial" w:cs="Arial"/>
          <w:szCs w:val="22"/>
        </w:rPr>
        <w:t xml:space="preserve"> </w:t>
      </w:r>
      <w:r w:rsidR="00071400" w:rsidRPr="00B63540">
        <w:rPr>
          <w:rFonts w:ascii="Arial" w:hAnsi="Arial" w:cs="Arial"/>
          <w:szCs w:val="22"/>
        </w:rPr>
        <w:t>December</w:t>
      </w:r>
      <w:r w:rsidR="00071400">
        <w:rPr>
          <w:rFonts w:ascii="Arial" w:hAnsi="Arial" w:cs="Arial"/>
          <w:szCs w:val="22"/>
        </w:rPr>
        <w:t xml:space="preserve"> </w:t>
      </w:r>
      <w:r w:rsidR="00A17A1F">
        <w:rPr>
          <w:rFonts w:ascii="Arial" w:hAnsi="Arial" w:cs="Arial"/>
          <w:szCs w:val="22"/>
        </w:rPr>
        <w:t>201</w:t>
      </w:r>
      <w:r w:rsidR="00F10CE9">
        <w:rPr>
          <w:rFonts w:ascii="Arial" w:hAnsi="Arial" w:cs="Arial"/>
          <w:szCs w:val="22"/>
        </w:rPr>
        <w:t>8</w:t>
      </w:r>
      <w:r w:rsidR="00A17A1F">
        <w:rPr>
          <w:rFonts w:ascii="Arial" w:hAnsi="Arial" w:cs="Arial"/>
          <w:szCs w:val="22"/>
        </w:rPr>
        <w:t xml:space="preserve"> </w:t>
      </w:r>
      <w:r w:rsidR="00071400">
        <w:rPr>
          <w:rFonts w:ascii="Arial" w:hAnsi="Arial" w:cs="Arial"/>
          <w:szCs w:val="22"/>
        </w:rPr>
        <w:t xml:space="preserve">and </w:t>
      </w:r>
      <w:r w:rsidR="00B81738">
        <w:rPr>
          <w:rFonts w:ascii="Arial" w:hAnsi="Arial" w:cs="Arial"/>
          <w:szCs w:val="22"/>
        </w:rPr>
        <w:t xml:space="preserve">summarises </w:t>
      </w:r>
      <w:r w:rsidR="007E20EE">
        <w:rPr>
          <w:rFonts w:ascii="Arial" w:hAnsi="Arial" w:cs="Arial"/>
          <w:szCs w:val="22"/>
        </w:rPr>
        <w:t>the LGA’s formal response</w:t>
      </w:r>
      <w:r>
        <w:rPr>
          <w:rFonts w:ascii="Arial" w:hAnsi="Arial" w:cs="Arial"/>
          <w:szCs w:val="22"/>
        </w:rPr>
        <w:t>.</w:t>
      </w: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765850">
        <w:tc>
          <w:tcPr>
            <w:tcW w:w="9157" w:type="dxa"/>
          </w:tcPr>
          <w:p w14:paraId="3E83226F" w14:textId="77777777"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0992E96" w:rsidP="007977F7">
            <w:pPr>
              <w:pStyle w:val="MainText"/>
              <w:spacing w:line="240" w:lineRule="auto"/>
              <w:jc w:val="both"/>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3E832272" w14:textId="0E6D4BE9" w:rsidR="00992E96" w:rsidRPr="0021114E" w:rsidRDefault="00765850" w:rsidP="007977F7">
            <w:pPr>
              <w:pStyle w:val="MainText"/>
              <w:spacing w:line="240" w:lineRule="auto"/>
              <w:jc w:val="both"/>
              <w:rPr>
                <w:rFonts w:ascii="Arial" w:hAnsi="Arial" w:cs="Arial"/>
                <w:szCs w:val="22"/>
              </w:rPr>
            </w:pPr>
            <w:r>
              <w:rPr>
                <w:rFonts w:ascii="Arial" w:hAnsi="Arial" w:cs="Arial"/>
                <w:szCs w:val="22"/>
              </w:rPr>
              <w:t>T</w:t>
            </w:r>
            <w:r w:rsidR="00F53361">
              <w:rPr>
                <w:rFonts w:ascii="Arial" w:hAnsi="Arial" w:cs="Arial"/>
                <w:szCs w:val="22"/>
              </w:rPr>
              <w:t>hat members note the report.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b/>
                <w:szCs w:val="22"/>
              </w:rPr>
              <w:t>Action</w:t>
            </w:r>
          </w:p>
          <w:p w14:paraId="3E832275" w14:textId="77777777" w:rsidR="00992E96" w:rsidRPr="0021114E" w:rsidRDefault="00992E96" w:rsidP="007977F7">
            <w:pPr>
              <w:pStyle w:val="MainText"/>
              <w:spacing w:line="240" w:lineRule="auto"/>
              <w:jc w:val="both"/>
              <w:rPr>
                <w:rFonts w:ascii="Arial" w:hAnsi="Arial" w:cs="Arial"/>
                <w:b/>
                <w:szCs w:val="22"/>
              </w:rPr>
            </w:pPr>
          </w:p>
          <w:p w14:paraId="3E832276" w14:textId="7CABCDDC" w:rsidR="00992E96" w:rsidRPr="00765850" w:rsidRDefault="00765850" w:rsidP="007977F7">
            <w:pPr>
              <w:pStyle w:val="MainText"/>
              <w:spacing w:line="240" w:lineRule="auto"/>
              <w:jc w:val="both"/>
              <w:rPr>
                <w:rFonts w:ascii="Arial" w:hAnsi="Arial" w:cs="Arial"/>
                <w:szCs w:val="22"/>
              </w:rPr>
            </w:pPr>
            <w:r w:rsidRPr="00765850">
              <w:rPr>
                <w:rFonts w:ascii="Arial" w:hAnsi="Arial" w:cs="Arial"/>
                <w:szCs w:val="22"/>
              </w:rPr>
              <w:t xml:space="preserve">Officers to </w:t>
            </w:r>
            <w:r w:rsidR="006E1273">
              <w:rPr>
                <w:rFonts w:ascii="Arial" w:hAnsi="Arial" w:cs="Arial"/>
                <w:szCs w:val="22"/>
              </w:rPr>
              <w:t>act on members comments</w:t>
            </w:r>
            <w:r>
              <w:rPr>
                <w:rFonts w:ascii="Arial" w:hAnsi="Arial" w:cs="Arial"/>
                <w:szCs w:val="22"/>
              </w:rPr>
              <w:t>.</w:t>
            </w:r>
          </w:p>
          <w:p w14:paraId="3E832277" w14:textId="77777777" w:rsidR="00992E96" w:rsidRPr="0021114E" w:rsidRDefault="00992E96" w:rsidP="007977F7">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7977F7">
            <w:pPr>
              <w:pStyle w:val="MainText"/>
              <w:spacing w:before="120" w:line="240" w:lineRule="auto"/>
              <w:jc w:val="both"/>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7A67FE84" w:rsidR="00992E96" w:rsidRPr="00B27F61" w:rsidRDefault="004F302D" w:rsidP="004F302D">
            <w:pPr>
              <w:pStyle w:val="MainText"/>
              <w:spacing w:before="120" w:line="240" w:lineRule="auto"/>
              <w:jc w:val="both"/>
              <w:rPr>
                <w:rFonts w:ascii="Arial" w:hAnsi="Arial" w:cs="Arial"/>
                <w:sz w:val="22"/>
                <w:szCs w:val="22"/>
              </w:rPr>
            </w:pPr>
            <w:r>
              <w:rPr>
                <w:rFonts w:ascii="Arial" w:hAnsi="Arial" w:cs="Arial"/>
                <w:sz w:val="22"/>
                <w:szCs w:val="22"/>
              </w:rPr>
              <w:t>Nicola</w:t>
            </w:r>
            <w:r w:rsidR="00FF5B05">
              <w:rPr>
                <w:rFonts w:ascii="Arial" w:hAnsi="Arial" w:cs="Arial"/>
                <w:sz w:val="22"/>
                <w:szCs w:val="22"/>
              </w:rPr>
              <w:t xml:space="preserve"> </w:t>
            </w:r>
            <w:r>
              <w:rPr>
                <w:rFonts w:ascii="Arial" w:hAnsi="Arial" w:cs="Arial"/>
                <w:sz w:val="22"/>
                <w:szCs w:val="22"/>
              </w:rPr>
              <w:t>Morton</w:t>
            </w:r>
          </w:p>
        </w:tc>
      </w:tr>
      <w:tr w:rsidR="00992E96" w:rsidRPr="00B27F61" w14:paraId="3E832280" w14:textId="77777777" w:rsidTr="00992E96">
        <w:tc>
          <w:tcPr>
            <w:tcW w:w="2774" w:type="dxa"/>
          </w:tcPr>
          <w:p w14:paraId="3E83227E"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Position:</w:t>
            </w:r>
          </w:p>
        </w:tc>
        <w:tc>
          <w:tcPr>
            <w:tcW w:w="6297" w:type="dxa"/>
          </w:tcPr>
          <w:p w14:paraId="3E83227F" w14:textId="5195C9B5" w:rsidR="00992E96" w:rsidRPr="00B27F61" w:rsidRDefault="004F302D" w:rsidP="007977F7">
            <w:pPr>
              <w:pStyle w:val="MainText"/>
              <w:spacing w:before="120" w:line="240" w:lineRule="auto"/>
              <w:jc w:val="both"/>
              <w:rPr>
                <w:rFonts w:ascii="Arial" w:hAnsi="Arial" w:cs="Arial"/>
                <w:sz w:val="22"/>
                <w:szCs w:val="22"/>
              </w:rPr>
            </w:pPr>
            <w:r>
              <w:rPr>
                <w:rFonts w:ascii="Arial" w:hAnsi="Arial" w:cs="Arial"/>
                <w:sz w:val="22"/>
                <w:szCs w:val="22"/>
              </w:rPr>
              <w:t>Head of Local Government Finance</w:t>
            </w:r>
          </w:p>
        </w:tc>
      </w:tr>
      <w:tr w:rsidR="00992E96" w:rsidRPr="00B27F61" w14:paraId="3E832283" w14:textId="77777777" w:rsidTr="00992E96">
        <w:tc>
          <w:tcPr>
            <w:tcW w:w="2774" w:type="dxa"/>
          </w:tcPr>
          <w:p w14:paraId="3E832281"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Phone no:</w:t>
            </w:r>
          </w:p>
        </w:tc>
        <w:tc>
          <w:tcPr>
            <w:tcW w:w="6297" w:type="dxa"/>
          </w:tcPr>
          <w:p w14:paraId="3E832282" w14:textId="1A018415" w:rsidR="00992E96" w:rsidRPr="00B27F61" w:rsidRDefault="00765850" w:rsidP="004F302D">
            <w:pPr>
              <w:pStyle w:val="MainText"/>
              <w:spacing w:before="120" w:line="240" w:lineRule="auto"/>
              <w:jc w:val="both"/>
              <w:rPr>
                <w:rFonts w:ascii="Arial" w:hAnsi="Arial" w:cs="Arial"/>
                <w:sz w:val="22"/>
                <w:szCs w:val="22"/>
              </w:rPr>
            </w:pPr>
            <w:r>
              <w:rPr>
                <w:rFonts w:ascii="Arial" w:hAnsi="Arial" w:cs="Arial"/>
                <w:sz w:val="22"/>
                <w:szCs w:val="22"/>
              </w:rPr>
              <w:t xml:space="preserve">0207 664 </w:t>
            </w:r>
            <w:r w:rsidR="00FF5B05">
              <w:rPr>
                <w:rFonts w:ascii="Arial" w:hAnsi="Arial" w:cs="Arial"/>
                <w:sz w:val="22"/>
                <w:szCs w:val="22"/>
              </w:rPr>
              <w:t>3</w:t>
            </w:r>
            <w:r w:rsidR="00D02550">
              <w:rPr>
                <w:rFonts w:ascii="Arial" w:hAnsi="Arial" w:cs="Arial"/>
                <w:sz w:val="22"/>
                <w:szCs w:val="22"/>
              </w:rPr>
              <w:t>197</w:t>
            </w:r>
          </w:p>
        </w:tc>
      </w:tr>
      <w:tr w:rsidR="00992E96" w:rsidRPr="00B27F61" w14:paraId="3E832286" w14:textId="77777777" w:rsidTr="00992E96">
        <w:trPr>
          <w:trHeight w:val="507"/>
        </w:trPr>
        <w:tc>
          <w:tcPr>
            <w:tcW w:w="2774" w:type="dxa"/>
          </w:tcPr>
          <w:p w14:paraId="3E832284"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Email:</w:t>
            </w:r>
          </w:p>
        </w:tc>
        <w:tc>
          <w:tcPr>
            <w:tcW w:w="6297" w:type="dxa"/>
          </w:tcPr>
          <w:p w14:paraId="3E832285" w14:textId="2C563B22" w:rsidR="00992E96" w:rsidRPr="002F0AD4" w:rsidRDefault="00B50001" w:rsidP="004F302D">
            <w:pPr>
              <w:pStyle w:val="MainText"/>
              <w:spacing w:before="120" w:line="240" w:lineRule="auto"/>
              <w:jc w:val="both"/>
              <w:rPr>
                <w:rFonts w:ascii="Arial" w:hAnsi="Arial" w:cs="Arial"/>
                <w:sz w:val="22"/>
                <w:szCs w:val="22"/>
              </w:rPr>
            </w:pPr>
            <w:hyperlink r:id="rId11" w:history="1"/>
            <w:hyperlink r:id="rId12" w:history="1">
              <w:r w:rsidR="00691985" w:rsidRPr="002F0AD4">
                <w:rPr>
                  <w:rStyle w:val="Hyperlink"/>
                  <w:rFonts w:ascii="Arial" w:hAnsi="Arial" w:cs="Arial"/>
                  <w:sz w:val="22"/>
                  <w:szCs w:val="22"/>
                </w:rPr>
                <w:t>nicola.morton@local.gov.uk</w:t>
              </w:r>
            </w:hyperlink>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691985">
      <w:pPr>
        <w:pStyle w:val="BodyText"/>
        <w:sectPr w:rsidR="00992E96" w:rsidSect="00765850">
          <w:headerReference w:type="default" r:id="rId13"/>
          <w:footerReference w:type="default" r:id="rId14"/>
          <w:headerReference w:type="first" r:id="rId15"/>
          <w:pgSz w:w="11907" w:h="16840" w:code="9"/>
          <w:pgMar w:top="1418" w:right="1418" w:bottom="851" w:left="1418" w:header="1134" w:footer="567" w:gutter="0"/>
          <w:cols w:space="720"/>
        </w:sectPr>
      </w:pPr>
    </w:p>
    <w:p w14:paraId="48D92396" w14:textId="406EC911" w:rsidR="00614062" w:rsidRPr="00BB212B" w:rsidRDefault="00001869" w:rsidP="00614062">
      <w:pPr>
        <w:pStyle w:val="LGAItemNoHeading"/>
        <w:spacing w:before="240"/>
        <w:jc w:val="both"/>
        <w:rPr>
          <w:rFonts w:ascii="Arial" w:hAnsi="Arial" w:cs="Arial"/>
          <w:sz w:val="28"/>
          <w:szCs w:val="28"/>
        </w:rPr>
      </w:pPr>
      <w:bookmarkStart w:id="2" w:name="MainHeading2"/>
      <w:bookmarkEnd w:id="2"/>
      <w:r>
        <w:rPr>
          <w:rFonts w:ascii="Arial" w:hAnsi="Arial" w:cs="Arial"/>
          <w:sz w:val="28"/>
          <w:szCs w:val="28"/>
        </w:rPr>
        <w:lastRenderedPageBreak/>
        <w:t>Provisional 2019</w:t>
      </w:r>
      <w:r w:rsidR="00614062">
        <w:rPr>
          <w:rFonts w:ascii="Arial" w:hAnsi="Arial" w:cs="Arial"/>
          <w:sz w:val="28"/>
          <w:szCs w:val="28"/>
        </w:rPr>
        <w:t>/</w:t>
      </w:r>
      <w:r>
        <w:rPr>
          <w:rFonts w:ascii="Arial" w:hAnsi="Arial" w:cs="Arial"/>
          <w:sz w:val="28"/>
          <w:szCs w:val="28"/>
        </w:rPr>
        <w:t>20</w:t>
      </w:r>
      <w:r w:rsidR="00266A9A">
        <w:rPr>
          <w:rFonts w:ascii="Arial" w:hAnsi="Arial" w:cs="Arial"/>
          <w:sz w:val="28"/>
          <w:szCs w:val="28"/>
        </w:rPr>
        <w:t xml:space="preserve"> Local Government Finance S</w:t>
      </w:r>
      <w:r w:rsidR="00614062">
        <w:rPr>
          <w:rFonts w:ascii="Arial" w:hAnsi="Arial" w:cs="Arial"/>
          <w:sz w:val="28"/>
          <w:szCs w:val="28"/>
        </w:rPr>
        <w:t>ettlement</w:t>
      </w:r>
    </w:p>
    <w:p w14:paraId="6CE9F38A" w14:textId="62F5D26A" w:rsidR="00765850" w:rsidRPr="00001869" w:rsidRDefault="00765850" w:rsidP="00001869">
      <w:pPr>
        <w:jc w:val="both"/>
        <w:rPr>
          <w:rFonts w:ascii="Arial" w:hAnsi="Arial" w:cs="Arial"/>
          <w:b/>
          <w:szCs w:val="22"/>
        </w:rPr>
      </w:pPr>
      <w:r w:rsidRPr="00001869">
        <w:rPr>
          <w:rFonts w:ascii="Arial" w:hAnsi="Arial" w:cs="Arial"/>
          <w:b/>
          <w:szCs w:val="22"/>
        </w:rPr>
        <w:t>Introduction</w:t>
      </w:r>
    </w:p>
    <w:p w14:paraId="30E72351" w14:textId="77777777" w:rsidR="00F237F9" w:rsidRPr="00F237F9" w:rsidRDefault="00F237F9" w:rsidP="00F237F9"/>
    <w:p w14:paraId="27BF87EC" w14:textId="1108ABAB" w:rsidR="00071400" w:rsidRPr="008A6F8A" w:rsidRDefault="00463758" w:rsidP="008A6F8A">
      <w:pPr>
        <w:pStyle w:val="ListParagraph"/>
        <w:numPr>
          <w:ilvl w:val="0"/>
          <w:numId w:val="1"/>
        </w:numPr>
        <w:rPr>
          <w:rFonts w:ascii="Arial" w:hAnsi="Arial" w:cs="Arial"/>
          <w:szCs w:val="22"/>
        </w:rPr>
      </w:pPr>
      <w:r w:rsidRPr="008A6F8A">
        <w:rPr>
          <w:rFonts w:ascii="Arial" w:hAnsi="Arial" w:cs="Arial"/>
          <w:szCs w:val="22"/>
        </w:rPr>
        <w:t xml:space="preserve">The </w:t>
      </w:r>
      <w:r w:rsidR="00071400" w:rsidRPr="008A6F8A">
        <w:rPr>
          <w:rFonts w:ascii="Arial" w:hAnsi="Arial" w:cs="Arial"/>
          <w:szCs w:val="22"/>
        </w:rPr>
        <w:t xml:space="preserve">Secretary of State for </w:t>
      </w:r>
      <w:r w:rsidR="00001869" w:rsidRPr="008A6F8A">
        <w:rPr>
          <w:rFonts w:ascii="Arial" w:hAnsi="Arial" w:cs="Arial"/>
          <w:szCs w:val="22"/>
        </w:rPr>
        <w:t xml:space="preserve">Housing, </w:t>
      </w:r>
      <w:r w:rsidR="00071400" w:rsidRPr="008A6F8A">
        <w:rPr>
          <w:rFonts w:ascii="Arial" w:hAnsi="Arial" w:cs="Arial"/>
          <w:szCs w:val="22"/>
        </w:rPr>
        <w:t xml:space="preserve">Communities and Local Government </w:t>
      </w:r>
      <w:r w:rsidR="00001869" w:rsidRPr="008A6F8A">
        <w:rPr>
          <w:rFonts w:ascii="Arial" w:hAnsi="Arial" w:cs="Arial"/>
          <w:szCs w:val="22"/>
        </w:rPr>
        <w:t>announced</w:t>
      </w:r>
      <w:r w:rsidR="00071400" w:rsidRPr="008A6F8A">
        <w:rPr>
          <w:rFonts w:ascii="Arial" w:hAnsi="Arial" w:cs="Arial"/>
          <w:szCs w:val="22"/>
        </w:rPr>
        <w:t xml:space="preserve"> the </w:t>
      </w:r>
      <w:r w:rsidR="00001869" w:rsidRPr="008A6F8A">
        <w:rPr>
          <w:rFonts w:ascii="Arial" w:hAnsi="Arial" w:cs="Arial"/>
          <w:szCs w:val="22"/>
        </w:rPr>
        <w:t>2019/20 Provisional Local G</w:t>
      </w:r>
      <w:r w:rsidR="00071400" w:rsidRPr="008A6F8A">
        <w:rPr>
          <w:rFonts w:ascii="Arial" w:hAnsi="Arial" w:cs="Arial"/>
          <w:szCs w:val="22"/>
        </w:rPr>
        <w:t>overnmen</w:t>
      </w:r>
      <w:r w:rsidR="00001869" w:rsidRPr="008A6F8A">
        <w:rPr>
          <w:rFonts w:ascii="Arial" w:hAnsi="Arial" w:cs="Arial"/>
          <w:szCs w:val="22"/>
        </w:rPr>
        <w:t>t Finance S</w:t>
      </w:r>
      <w:r w:rsidR="00071400" w:rsidRPr="008A6F8A">
        <w:rPr>
          <w:rFonts w:ascii="Arial" w:hAnsi="Arial" w:cs="Arial"/>
          <w:szCs w:val="22"/>
        </w:rPr>
        <w:t xml:space="preserve">ettlement on </w:t>
      </w:r>
      <w:r w:rsidR="00F10CE9" w:rsidRPr="008A6F8A">
        <w:rPr>
          <w:rFonts w:ascii="Arial" w:hAnsi="Arial" w:cs="Arial"/>
          <w:szCs w:val="22"/>
        </w:rPr>
        <w:t>13</w:t>
      </w:r>
      <w:r w:rsidR="00071400" w:rsidRPr="008A6F8A">
        <w:rPr>
          <w:rFonts w:ascii="Arial" w:hAnsi="Arial" w:cs="Arial"/>
          <w:szCs w:val="22"/>
        </w:rPr>
        <w:t xml:space="preserve"> December 201</w:t>
      </w:r>
      <w:r w:rsidR="00F10CE9" w:rsidRPr="008A6F8A">
        <w:rPr>
          <w:rFonts w:ascii="Arial" w:hAnsi="Arial" w:cs="Arial"/>
          <w:szCs w:val="22"/>
        </w:rPr>
        <w:t>8</w:t>
      </w:r>
      <w:r w:rsidR="00071400" w:rsidRPr="008A6F8A">
        <w:rPr>
          <w:rFonts w:ascii="Arial" w:hAnsi="Arial" w:cs="Arial"/>
          <w:szCs w:val="22"/>
        </w:rPr>
        <w:t xml:space="preserve">, with a deadline for responses of </w:t>
      </w:r>
      <w:r w:rsidR="002B1498" w:rsidRPr="008A6F8A">
        <w:rPr>
          <w:rFonts w:ascii="Arial" w:hAnsi="Arial" w:cs="Arial"/>
          <w:szCs w:val="22"/>
        </w:rPr>
        <w:t>1</w:t>
      </w:r>
      <w:r w:rsidR="00F10CE9" w:rsidRPr="008A6F8A">
        <w:rPr>
          <w:rFonts w:ascii="Arial" w:hAnsi="Arial" w:cs="Arial"/>
          <w:szCs w:val="22"/>
        </w:rPr>
        <w:t>0</w:t>
      </w:r>
      <w:r w:rsidR="002B1498" w:rsidRPr="008A6F8A">
        <w:rPr>
          <w:rFonts w:ascii="Arial" w:hAnsi="Arial" w:cs="Arial"/>
          <w:szCs w:val="22"/>
        </w:rPr>
        <w:t xml:space="preserve"> </w:t>
      </w:r>
      <w:r w:rsidR="00071400" w:rsidRPr="008A6F8A">
        <w:rPr>
          <w:rFonts w:ascii="Arial" w:hAnsi="Arial" w:cs="Arial"/>
          <w:szCs w:val="22"/>
        </w:rPr>
        <w:t>January 201</w:t>
      </w:r>
      <w:r w:rsidR="00F10CE9" w:rsidRPr="008A6F8A">
        <w:rPr>
          <w:rFonts w:ascii="Arial" w:hAnsi="Arial" w:cs="Arial"/>
          <w:szCs w:val="22"/>
        </w:rPr>
        <w:t>9</w:t>
      </w:r>
      <w:r w:rsidR="00071400" w:rsidRPr="008A6F8A">
        <w:rPr>
          <w:rFonts w:ascii="Arial" w:hAnsi="Arial" w:cs="Arial"/>
          <w:szCs w:val="22"/>
        </w:rPr>
        <w:t>.</w:t>
      </w:r>
    </w:p>
    <w:p w14:paraId="7FBF1991" w14:textId="77777777" w:rsidR="00F237F9" w:rsidRPr="008A6F8A" w:rsidRDefault="00F237F9" w:rsidP="008A6F8A">
      <w:pPr>
        <w:pStyle w:val="ListParagraph"/>
        <w:ind w:left="360"/>
        <w:rPr>
          <w:rFonts w:ascii="Arial" w:hAnsi="Arial" w:cs="Arial"/>
          <w:szCs w:val="22"/>
        </w:rPr>
      </w:pPr>
    </w:p>
    <w:p w14:paraId="4A27914B" w14:textId="6E876602" w:rsidR="00071400" w:rsidRPr="008A6F8A" w:rsidRDefault="00071400" w:rsidP="008A6F8A">
      <w:pPr>
        <w:pStyle w:val="ListParagraph"/>
        <w:numPr>
          <w:ilvl w:val="0"/>
          <w:numId w:val="1"/>
        </w:numPr>
        <w:rPr>
          <w:rFonts w:ascii="Arial" w:hAnsi="Arial" w:cs="Arial"/>
          <w:szCs w:val="22"/>
        </w:rPr>
      </w:pPr>
      <w:r w:rsidRPr="008A6F8A">
        <w:rPr>
          <w:rFonts w:ascii="Arial" w:hAnsi="Arial" w:cs="Arial"/>
          <w:szCs w:val="22"/>
        </w:rPr>
        <w:t>The settlement sets out allocations of key local government grants, as well as the Government’s assessment of local authorities’ core spending power, for 2019/20</w:t>
      </w:r>
      <w:r w:rsidR="00F10CE9" w:rsidRPr="008A6F8A">
        <w:rPr>
          <w:rFonts w:ascii="Arial" w:hAnsi="Arial" w:cs="Arial"/>
          <w:szCs w:val="22"/>
        </w:rPr>
        <w:t>.</w:t>
      </w:r>
    </w:p>
    <w:p w14:paraId="179045F8" w14:textId="715A62F1" w:rsidR="00F237F9" w:rsidRPr="008A6F8A" w:rsidRDefault="00F237F9" w:rsidP="008A6F8A">
      <w:pPr>
        <w:pStyle w:val="ListParagraph"/>
        <w:ind w:left="360"/>
        <w:rPr>
          <w:rFonts w:ascii="Arial" w:hAnsi="Arial" w:cs="Arial"/>
          <w:szCs w:val="22"/>
        </w:rPr>
      </w:pPr>
    </w:p>
    <w:p w14:paraId="24FDBA0B" w14:textId="2276BC01" w:rsidR="00071400" w:rsidRPr="008A6F8A" w:rsidRDefault="00071400" w:rsidP="008A6F8A">
      <w:pPr>
        <w:pStyle w:val="ListParagraph"/>
        <w:numPr>
          <w:ilvl w:val="0"/>
          <w:numId w:val="1"/>
        </w:numPr>
        <w:rPr>
          <w:rFonts w:ascii="Arial" w:hAnsi="Arial" w:cs="Arial"/>
          <w:szCs w:val="22"/>
        </w:rPr>
      </w:pPr>
      <w:r w:rsidRPr="008A6F8A">
        <w:rPr>
          <w:rFonts w:ascii="Arial" w:hAnsi="Arial" w:cs="Arial"/>
          <w:szCs w:val="22"/>
        </w:rPr>
        <w:t xml:space="preserve">The Government also </w:t>
      </w:r>
      <w:r w:rsidR="00F10CE9" w:rsidRPr="008A6F8A">
        <w:rPr>
          <w:rFonts w:ascii="Arial" w:hAnsi="Arial" w:cs="Arial"/>
          <w:szCs w:val="22"/>
        </w:rPr>
        <w:t>published consultations on B</w:t>
      </w:r>
      <w:r w:rsidR="0013564A" w:rsidRPr="008A6F8A">
        <w:rPr>
          <w:rFonts w:ascii="Arial" w:hAnsi="Arial" w:cs="Arial"/>
          <w:szCs w:val="22"/>
        </w:rPr>
        <w:t xml:space="preserve">usiness </w:t>
      </w:r>
      <w:r w:rsidR="00F10CE9" w:rsidRPr="008A6F8A">
        <w:rPr>
          <w:rFonts w:ascii="Arial" w:hAnsi="Arial" w:cs="Arial"/>
          <w:szCs w:val="22"/>
        </w:rPr>
        <w:t>R</w:t>
      </w:r>
      <w:r w:rsidR="0013564A" w:rsidRPr="008A6F8A">
        <w:rPr>
          <w:rFonts w:ascii="Arial" w:hAnsi="Arial" w:cs="Arial"/>
          <w:szCs w:val="22"/>
        </w:rPr>
        <w:t xml:space="preserve">ates </w:t>
      </w:r>
      <w:r w:rsidR="00F10CE9" w:rsidRPr="008A6F8A">
        <w:rPr>
          <w:rFonts w:ascii="Arial" w:hAnsi="Arial" w:cs="Arial"/>
          <w:szCs w:val="22"/>
        </w:rPr>
        <w:t>R</w:t>
      </w:r>
      <w:r w:rsidR="0013564A" w:rsidRPr="008A6F8A">
        <w:rPr>
          <w:rFonts w:ascii="Arial" w:hAnsi="Arial" w:cs="Arial"/>
          <w:szCs w:val="22"/>
        </w:rPr>
        <w:t>etention and the Fair Funding Review</w:t>
      </w:r>
      <w:r w:rsidR="00F10CE9" w:rsidRPr="008A6F8A">
        <w:rPr>
          <w:rFonts w:ascii="Arial" w:hAnsi="Arial" w:cs="Arial"/>
          <w:szCs w:val="22"/>
        </w:rPr>
        <w:t xml:space="preserve">. These are </w:t>
      </w:r>
      <w:r w:rsidRPr="008A6F8A">
        <w:rPr>
          <w:rFonts w:ascii="Arial" w:hAnsi="Arial" w:cs="Arial"/>
          <w:szCs w:val="22"/>
        </w:rPr>
        <w:t>covered by</w:t>
      </w:r>
      <w:r w:rsidR="00BC2918" w:rsidRPr="008A6F8A">
        <w:rPr>
          <w:rFonts w:ascii="Arial" w:hAnsi="Arial" w:cs="Arial"/>
          <w:szCs w:val="22"/>
        </w:rPr>
        <w:t xml:space="preserve"> </w:t>
      </w:r>
      <w:r w:rsidR="006972A5" w:rsidRPr="008A6F8A">
        <w:rPr>
          <w:rFonts w:ascii="Arial" w:hAnsi="Arial" w:cs="Arial"/>
          <w:szCs w:val="22"/>
        </w:rPr>
        <w:t>separate item</w:t>
      </w:r>
      <w:r w:rsidR="00F10CE9" w:rsidRPr="008A6F8A">
        <w:rPr>
          <w:rFonts w:ascii="Arial" w:hAnsi="Arial" w:cs="Arial"/>
          <w:szCs w:val="22"/>
        </w:rPr>
        <w:t>s</w:t>
      </w:r>
      <w:r w:rsidR="006972A5" w:rsidRPr="008A6F8A">
        <w:rPr>
          <w:rFonts w:ascii="Arial" w:hAnsi="Arial" w:cs="Arial"/>
          <w:szCs w:val="22"/>
        </w:rPr>
        <w:t xml:space="preserve"> on the agenda.</w:t>
      </w:r>
    </w:p>
    <w:p w14:paraId="573F7284" w14:textId="77777777" w:rsidR="00F237F9" w:rsidRPr="008A6F8A" w:rsidRDefault="00F237F9" w:rsidP="008A6F8A">
      <w:pPr>
        <w:pStyle w:val="ListParagraph"/>
        <w:ind w:left="360"/>
        <w:rPr>
          <w:rFonts w:ascii="Arial" w:hAnsi="Arial" w:cs="Arial"/>
          <w:szCs w:val="22"/>
        </w:rPr>
      </w:pPr>
    </w:p>
    <w:p w14:paraId="71309F48" w14:textId="70DBE529" w:rsidR="00AA380A" w:rsidRPr="008A6F8A" w:rsidRDefault="00071400" w:rsidP="008A6F8A">
      <w:pPr>
        <w:pStyle w:val="ListParagraph"/>
        <w:numPr>
          <w:ilvl w:val="0"/>
          <w:numId w:val="1"/>
        </w:numPr>
        <w:rPr>
          <w:rFonts w:ascii="Arial" w:hAnsi="Arial" w:cs="Arial"/>
          <w:szCs w:val="22"/>
        </w:rPr>
      </w:pPr>
      <w:r w:rsidRPr="008A6F8A">
        <w:rPr>
          <w:rFonts w:ascii="Arial" w:hAnsi="Arial" w:cs="Arial"/>
          <w:szCs w:val="22"/>
        </w:rPr>
        <w:t xml:space="preserve">The LGA </w:t>
      </w:r>
      <w:r w:rsidR="008A6F8A" w:rsidRPr="008A6F8A">
        <w:rPr>
          <w:rFonts w:ascii="Arial" w:hAnsi="Arial" w:cs="Arial"/>
          <w:szCs w:val="22"/>
        </w:rPr>
        <w:t xml:space="preserve">issued a </w:t>
      </w:r>
      <w:hyperlink r:id="rId16" w:history="1">
        <w:r w:rsidR="008A6F8A" w:rsidRPr="008A6F8A">
          <w:rPr>
            <w:rStyle w:val="Hyperlink"/>
            <w:rFonts w:ascii="Arial" w:hAnsi="Arial" w:cs="Arial"/>
            <w:szCs w:val="22"/>
          </w:rPr>
          <w:t>press release</w:t>
        </w:r>
      </w:hyperlink>
      <w:r w:rsidR="008A6F8A" w:rsidRPr="008A6F8A">
        <w:rPr>
          <w:rFonts w:ascii="Arial" w:hAnsi="Arial" w:cs="Arial"/>
          <w:szCs w:val="22"/>
        </w:rPr>
        <w:t xml:space="preserve"> and </w:t>
      </w:r>
      <w:r w:rsidRPr="008A6F8A">
        <w:rPr>
          <w:rFonts w:ascii="Arial" w:hAnsi="Arial" w:cs="Arial"/>
          <w:szCs w:val="22"/>
        </w:rPr>
        <w:t xml:space="preserve">produced an </w:t>
      </w:r>
      <w:hyperlink r:id="rId17" w:history="1">
        <w:r w:rsidRPr="008A6F8A">
          <w:rPr>
            <w:rStyle w:val="Hyperlink"/>
            <w:rFonts w:ascii="Arial" w:hAnsi="Arial" w:cs="Arial"/>
            <w:szCs w:val="22"/>
          </w:rPr>
          <w:t>on-the-day briefing</w:t>
        </w:r>
      </w:hyperlink>
      <w:r w:rsidR="00B63540" w:rsidRPr="008A6F8A">
        <w:rPr>
          <w:rFonts w:ascii="Arial" w:hAnsi="Arial" w:cs="Arial"/>
          <w:szCs w:val="22"/>
        </w:rPr>
        <w:t xml:space="preserve">, </w:t>
      </w:r>
      <w:r w:rsidRPr="008A6F8A">
        <w:rPr>
          <w:rFonts w:ascii="Arial" w:hAnsi="Arial" w:cs="Arial"/>
          <w:szCs w:val="22"/>
        </w:rPr>
        <w:t>providing a summary of all announcements and the LGA’s immediate reaction.</w:t>
      </w:r>
    </w:p>
    <w:p w14:paraId="06FE348C" w14:textId="77777777" w:rsidR="002B1498" w:rsidRPr="00F237F9" w:rsidRDefault="002B1498" w:rsidP="00F237F9">
      <w:pPr>
        <w:rPr>
          <w:rFonts w:ascii="Arial" w:hAnsi="Arial" w:cs="Arial"/>
          <w:szCs w:val="22"/>
        </w:rPr>
      </w:pPr>
    </w:p>
    <w:p w14:paraId="70E920EA" w14:textId="41ADF73C" w:rsidR="00B63540" w:rsidRPr="00F237F9" w:rsidRDefault="00B63540" w:rsidP="00F237F9">
      <w:pPr>
        <w:jc w:val="both"/>
        <w:rPr>
          <w:rFonts w:ascii="Arial" w:hAnsi="Arial" w:cs="Arial"/>
          <w:b/>
          <w:szCs w:val="22"/>
        </w:rPr>
      </w:pPr>
      <w:r w:rsidRPr="00F237F9">
        <w:rPr>
          <w:rFonts w:ascii="Arial" w:hAnsi="Arial" w:cs="Arial"/>
          <w:b/>
          <w:szCs w:val="22"/>
        </w:rPr>
        <w:t>Key announcements</w:t>
      </w:r>
    </w:p>
    <w:p w14:paraId="1349B034" w14:textId="77777777" w:rsidR="00F237F9" w:rsidRPr="00001869" w:rsidRDefault="00F237F9" w:rsidP="00F237F9">
      <w:pPr>
        <w:rPr>
          <w:rFonts w:ascii="Arial" w:hAnsi="Arial" w:cs="Arial"/>
          <w:szCs w:val="22"/>
        </w:rPr>
      </w:pPr>
    </w:p>
    <w:p w14:paraId="7CEB5BCE" w14:textId="267A511D" w:rsidR="00B63540" w:rsidRPr="0052564C" w:rsidRDefault="00B63540" w:rsidP="00F40732">
      <w:pPr>
        <w:pStyle w:val="ListParagraph"/>
        <w:numPr>
          <w:ilvl w:val="0"/>
          <w:numId w:val="1"/>
        </w:numPr>
        <w:rPr>
          <w:rFonts w:ascii="Arial" w:hAnsi="Arial" w:cs="Arial"/>
          <w:szCs w:val="22"/>
        </w:rPr>
      </w:pPr>
      <w:r w:rsidRPr="0052564C">
        <w:rPr>
          <w:rFonts w:ascii="Arial" w:hAnsi="Arial" w:cs="Arial"/>
          <w:szCs w:val="22"/>
        </w:rPr>
        <w:t xml:space="preserve">The following were the key announcements in the </w:t>
      </w:r>
      <w:r w:rsidR="004D4A63">
        <w:rPr>
          <w:rFonts w:ascii="Arial" w:hAnsi="Arial" w:cs="Arial"/>
          <w:szCs w:val="22"/>
        </w:rPr>
        <w:t>2019/20 P</w:t>
      </w:r>
      <w:r w:rsidRPr="0052564C">
        <w:rPr>
          <w:rFonts w:ascii="Arial" w:hAnsi="Arial" w:cs="Arial"/>
          <w:szCs w:val="22"/>
        </w:rPr>
        <w:t xml:space="preserve">rovisional </w:t>
      </w:r>
      <w:r w:rsidR="004D4A63">
        <w:rPr>
          <w:rFonts w:ascii="Arial" w:hAnsi="Arial" w:cs="Arial"/>
          <w:szCs w:val="22"/>
        </w:rPr>
        <w:t>L</w:t>
      </w:r>
      <w:r w:rsidRPr="0052564C">
        <w:rPr>
          <w:rFonts w:ascii="Arial" w:hAnsi="Arial" w:cs="Arial"/>
          <w:szCs w:val="22"/>
        </w:rPr>
        <w:t xml:space="preserve">ocal </w:t>
      </w:r>
      <w:r w:rsidR="004D4A63">
        <w:rPr>
          <w:rFonts w:ascii="Arial" w:hAnsi="Arial" w:cs="Arial"/>
          <w:szCs w:val="22"/>
        </w:rPr>
        <w:t>G</w:t>
      </w:r>
      <w:r w:rsidRPr="0052564C">
        <w:rPr>
          <w:rFonts w:ascii="Arial" w:hAnsi="Arial" w:cs="Arial"/>
          <w:szCs w:val="22"/>
        </w:rPr>
        <w:t xml:space="preserve">overnment </w:t>
      </w:r>
      <w:r w:rsidR="004D4A63">
        <w:rPr>
          <w:rFonts w:ascii="Arial" w:hAnsi="Arial" w:cs="Arial"/>
          <w:szCs w:val="22"/>
        </w:rPr>
        <w:t>F</w:t>
      </w:r>
      <w:r w:rsidRPr="0052564C">
        <w:rPr>
          <w:rFonts w:ascii="Arial" w:hAnsi="Arial" w:cs="Arial"/>
          <w:szCs w:val="22"/>
        </w:rPr>
        <w:t xml:space="preserve">inance </w:t>
      </w:r>
      <w:r w:rsidR="004D4A63">
        <w:rPr>
          <w:rFonts w:ascii="Arial" w:hAnsi="Arial" w:cs="Arial"/>
          <w:szCs w:val="22"/>
        </w:rPr>
        <w:t>S</w:t>
      </w:r>
      <w:r w:rsidRPr="0052564C">
        <w:rPr>
          <w:rFonts w:ascii="Arial" w:hAnsi="Arial" w:cs="Arial"/>
          <w:szCs w:val="22"/>
        </w:rPr>
        <w:t>ettlement:</w:t>
      </w:r>
    </w:p>
    <w:p w14:paraId="60B46DE5" w14:textId="77777777" w:rsidR="00B63540" w:rsidRPr="0052564C" w:rsidRDefault="00B63540" w:rsidP="00B63540">
      <w:pPr>
        <w:pStyle w:val="ListParagraph"/>
        <w:ind w:left="360"/>
        <w:jc w:val="both"/>
        <w:rPr>
          <w:rFonts w:ascii="Arial" w:hAnsi="Arial" w:cs="Arial"/>
          <w:szCs w:val="22"/>
        </w:rPr>
      </w:pPr>
    </w:p>
    <w:p w14:paraId="315BE3B8" w14:textId="77777777" w:rsidR="0041771D" w:rsidRDefault="00E57864" w:rsidP="00E57864">
      <w:pPr>
        <w:pStyle w:val="List2"/>
        <w:numPr>
          <w:ilvl w:val="1"/>
          <w:numId w:val="1"/>
        </w:numPr>
        <w:rPr>
          <w:rFonts w:ascii="Arial" w:eastAsia="Calibri" w:hAnsi="Arial" w:cs="Arial"/>
          <w:szCs w:val="22"/>
        </w:rPr>
      </w:pPr>
      <w:r w:rsidRPr="00E57864">
        <w:rPr>
          <w:rFonts w:ascii="Arial" w:eastAsia="Calibri" w:hAnsi="Arial" w:cs="Arial"/>
          <w:szCs w:val="22"/>
        </w:rPr>
        <w:t>Core Spending Power, as defined by MHCLG, will rise by an average of 2.8 per cent in 2019/20. This includes</w:t>
      </w:r>
      <w:r w:rsidR="0041771D">
        <w:rPr>
          <w:rFonts w:ascii="Arial" w:eastAsia="Calibri" w:hAnsi="Arial" w:cs="Arial"/>
          <w:szCs w:val="22"/>
        </w:rPr>
        <w:t>:</w:t>
      </w:r>
    </w:p>
    <w:p w14:paraId="6E6F38AC" w14:textId="77777777" w:rsidR="0041771D" w:rsidRDefault="0041771D" w:rsidP="0041771D">
      <w:pPr>
        <w:pStyle w:val="List2"/>
        <w:ind w:left="792" w:firstLine="0"/>
        <w:rPr>
          <w:rFonts w:ascii="Arial" w:eastAsia="Calibri" w:hAnsi="Arial" w:cs="Arial"/>
          <w:szCs w:val="22"/>
        </w:rPr>
      </w:pPr>
    </w:p>
    <w:p w14:paraId="22C5AF71" w14:textId="66143672" w:rsidR="0041771D" w:rsidRDefault="0041771D" w:rsidP="00025492">
      <w:pPr>
        <w:pStyle w:val="ListParagraph"/>
        <w:widowControl w:val="0"/>
        <w:numPr>
          <w:ilvl w:val="2"/>
          <w:numId w:val="1"/>
        </w:numPr>
        <w:ind w:left="1287" w:hanging="567"/>
        <w:contextualSpacing/>
        <w:rPr>
          <w:rFonts w:ascii="Arial" w:hAnsi="Arial" w:cs="Arial"/>
          <w:szCs w:val="22"/>
        </w:rPr>
      </w:pPr>
      <w:r w:rsidRPr="00025492">
        <w:rPr>
          <w:rFonts w:ascii="Arial" w:hAnsi="Arial" w:cs="Arial"/>
          <w:szCs w:val="22"/>
        </w:rPr>
        <w:t>The</w:t>
      </w:r>
      <w:r w:rsidR="006B6CD1" w:rsidRPr="00025492">
        <w:rPr>
          <w:rFonts w:ascii="Arial" w:eastAsia="Calibri" w:hAnsi="Arial" w:cs="Arial"/>
          <w:szCs w:val="22"/>
        </w:rPr>
        <w:t xml:space="preserve"> additional resources of £240 million for Adult Social Care and £410 million, for both adults and children’s social care, announce</w:t>
      </w:r>
      <w:r w:rsidR="00E57864" w:rsidRPr="00025492">
        <w:rPr>
          <w:rFonts w:ascii="Arial" w:eastAsia="Calibri" w:hAnsi="Arial" w:cs="Arial"/>
          <w:szCs w:val="22"/>
        </w:rPr>
        <w:t>d in the Budget in October 2018</w:t>
      </w:r>
      <w:r w:rsidRPr="00025492">
        <w:rPr>
          <w:rFonts w:ascii="Arial" w:hAnsi="Arial" w:cs="Arial"/>
          <w:szCs w:val="22"/>
        </w:rPr>
        <w:t>;</w:t>
      </w:r>
    </w:p>
    <w:p w14:paraId="34FC103F" w14:textId="77777777" w:rsidR="00025492" w:rsidRPr="00025492" w:rsidRDefault="00025492" w:rsidP="00025492">
      <w:pPr>
        <w:pStyle w:val="ListParagraph"/>
        <w:widowControl w:val="0"/>
        <w:ind w:left="1287"/>
        <w:contextualSpacing/>
        <w:rPr>
          <w:rFonts w:ascii="Arial" w:hAnsi="Arial" w:cs="Arial"/>
          <w:szCs w:val="22"/>
        </w:rPr>
      </w:pPr>
    </w:p>
    <w:p w14:paraId="5733E121" w14:textId="60B16286" w:rsidR="001E184C" w:rsidRDefault="0041771D" w:rsidP="00025492">
      <w:pPr>
        <w:pStyle w:val="ListParagraph"/>
        <w:widowControl w:val="0"/>
        <w:numPr>
          <w:ilvl w:val="2"/>
          <w:numId w:val="1"/>
        </w:numPr>
        <w:ind w:left="1287" w:hanging="567"/>
        <w:rPr>
          <w:rFonts w:ascii="Arial" w:hAnsi="Arial" w:cs="Arial"/>
          <w:szCs w:val="22"/>
        </w:rPr>
      </w:pPr>
      <w:r>
        <w:rPr>
          <w:rFonts w:ascii="Arial" w:hAnsi="Arial" w:cs="Arial"/>
          <w:szCs w:val="22"/>
        </w:rPr>
        <w:t>Additional funding for the New Homes Bonus of £18 million to maintain the threshold at 0.4 per cent;</w:t>
      </w:r>
    </w:p>
    <w:p w14:paraId="450805F8" w14:textId="77777777" w:rsidR="00025492" w:rsidRPr="0041771D" w:rsidRDefault="00025492" w:rsidP="00025492">
      <w:pPr>
        <w:pStyle w:val="ListParagraph"/>
        <w:widowControl w:val="0"/>
        <w:ind w:left="1287"/>
        <w:rPr>
          <w:rFonts w:ascii="Arial" w:hAnsi="Arial" w:cs="Arial"/>
          <w:szCs w:val="22"/>
        </w:rPr>
      </w:pPr>
    </w:p>
    <w:p w14:paraId="7C508C32" w14:textId="61E188FB" w:rsidR="001E184C" w:rsidRDefault="0041771D" w:rsidP="00025492">
      <w:pPr>
        <w:pStyle w:val="ListParagraph"/>
        <w:widowControl w:val="0"/>
        <w:numPr>
          <w:ilvl w:val="2"/>
          <w:numId w:val="1"/>
        </w:numPr>
        <w:ind w:left="1287" w:hanging="567"/>
        <w:rPr>
          <w:rFonts w:ascii="Arial" w:hAnsi="Arial" w:cs="Arial"/>
          <w:szCs w:val="22"/>
        </w:rPr>
      </w:pPr>
      <w:r>
        <w:rPr>
          <w:rFonts w:ascii="Arial" w:hAnsi="Arial" w:cs="Arial"/>
          <w:szCs w:val="22"/>
        </w:rPr>
        <w:t>An increase in the Rural Services Delivery Grant of</w:t>
      </w:r>
      <w:r w:rsidRPr="0041771D">
        <w:rPr>
          <w:rFonts w:ascii="Arial" w:hAnsi="Arial" w:cs="Arial"/>
          <w:szCs w:val="22"/>
        </w:rPr>
        <w:t xml:space="preserve"> £16</w:t>
      </w:r>
      <w:r>
        <w:rPr>
          <w:rFonts w:ascii="Arial" w:hAnsi="Arial" w:cs="Arial"/>
          <w:szCs w:val="22"/>
        </w:rPr>
        <w:t xml:space="preserve"> </w:t>
      </w:r>
      <w:r w:rsidRPr="0041771D">
        <w:rPr>
          <w:rFonts w:ascii="Arial" w:hAnsi="Arial" w:cs="Arial"/>
          <w:szCs w:val="22"/>
        </w:rPr>
        <w:t>m</w:t>
      </w:r>
      <w:r>
        <w:rPr>
          <w:rFonts w:ascii="Arial" w:hAnsi="Arial" w:cs="Arial"/>
          <w:szCs w:val="22"/>
        </w:rPr>
        <w:t>illion;</w:t>
      </w:r>
    </w:p>
    <w:p w14:paraId="019E71C2" w14:textId="77777777" w:rsidR="00025492" w:rsidRPr="0041771D" w:rsidRDefault="00025492" w:rsidP="00025492">
      <w:pPr>
        <w:pStyle w:val="ListParagraph"/>
        <w:widowControl w:val="0"/>
        <w:ind w:left="1287"/>
        <w:rPr>
          <w:rFonts w:ascii="Arial" w:hAnsi="Arial" w:cs="Arial"/>
          <w:szCs w:val="22"/>
        </w:rPr>
      </w:pPr>
    </w:p>
    <w:p w14:paraId="1FF7B014" w14:textId="3591B29D" w:rsidR="0041771D" w:rsidRDefault="0041771D" w:rsidP="00025492">
      <w:pPr>
        <w:pStyle w:val="ListParagraph"/>
        <w:widowControl w:val="0"/>
        <w:numPr>
          <w:ilvl w:val="2"/>
          <w:numId w:val="1"/>
        </w:numPr>
        <w:ind w:left="1287" w:hanging="567"/>
        <w:rPr>
          <w:rFonts w:ascii="Arial" w:hAnsi="Arial" w:cs="Arial"/>
          <w:szCs w:val="22"/>
        </w:rPr>
      </w:pPr>
      <w:r>
        <w:rPr>
          <w:rFonts w:ascii="Arial" w:hAnsi="Arial" w:cs="Arial"/>
          <w:szCs w:val="22"/>
        </w:rPr>
        <w:t xml:space="preserve">Resources of £152.9 million to cancel the adjustment known as </w:t>
      </w:r>
      <w:r w:rsidRPr="0041771D">
        <w:rPr>
          <w:rFonts w:ascii="Arial" w:hAnsi="Arial" w:cs="Arial"/>
          <w:szCs w:val="22"/>
        </w:rPr>
        <w:t>Negative R</w:t>
      </w:r>
      <w:r>
        <w:rPr>
          <w:rFonts w:ascii="Arial" w:hAnsi="Arial" w:cs="Arial"/>
          <w:szCs w:val="22"/>
        </w:rPr>
        <w:t xml:space="preserve">evenue Support </w:t>
      </w:r>
      <w:r w:rsidRPr="0041771D">
        <w:rPr>
          <w:rFonts w:ascii="Arial" w:hAnsi="Arial" w:cs="Arial"/>
          <w:szCs w:val="22"/>
        </w:rPr>
        <w:t>G</w:t>
      </w:r>
      <w:r>
        <w:rPr>
          <w:rFonts w:ascii="Arial" w:hAnsi="Arial" w:cs="Arial"/>
          <w:szCs w:val="22"/>
        </w:rPr>
        <w:t>rant;</w:t>
      </w:r>
    </w:p>
    <w:p w14:paraId="7A154F69" w14:textId="77777777" w:rsidR="00025492" w:rsidRPr="0041771D" w:rsidRDefault="00025492" w:rsidP="00025492">
      <w:pPr>
        <w:pStyle w:val="ListParagraph"/>
        <w:widowControl w:val="0"/>
        <w:ind w:left="1287"/>
        <w:rPr>
          <w:rFonts w:ascii="Arial" w:hAnsi="Arial" w:cs="Arial"/>
          <w:szCs w:val="22"/>
        </w:rPr>
      </w:pPr>
    </w:p>
    <w:p w14:paraId="7F0AF8D5" w14:textId="01A63FA2" w:rsidR="006B6CD1" w:rsidRPr="0041771D" w:rsidRDefault="0041771D" w:rsidP="00025492">
      <w:pPr>
        <w:pStyle w:val="ListParagraph"/>
        <w:widowControl w:val="0"/>
        <w:numPr>
          <w:ilvl w:val="2"/>
          <w:numId w:val="1"/>
        </w:numPr>
        <w:ind w:left="1287" w:hanging="567"/>
        <w:contextualSpacing/>
        <w:rPr>
          <w:rFonts w:ascii="Arial" w:eastAsia="Calibri" w:hAnsi="Arial" w:cs="Arial"/>
          <w:szCs w:val="22"/>
        </w:rPr>
      </w:pPr>
      <w:r>
        <w:rPr>
          <w:rFonts w:ascii="Arial" w:hAnsi="Arial" w:cs="Arial"/>
          <w:szCs w:val="22"/>
        </w:rPr>
        <w:t>U</w:t>
      </w:r>
      <w:r w:rsidR="00E57864" w:rsidRPr="0041771D">
        <w:rPr>
          <w:rFonts w:ascii="Arial" w:hAnsi="Arial" w:cs="Arial"/>
          <w:szCs w:val="22"/>
        </w:rPr>
        <w:t>pdated</w:t>
      </w:r>
      <w:r w:rsidR="00E57864" w:rsidRPr="0041771D">
        <w:rPr>
          <w:rFonts w:ascii="Arial" w:eastAsia="Calibri" w:hAnsi="Arial" w:cs="Arial"/>
          <w:szCs w:val="22"/>
        </w:rPr>
        <w:t xml:space="preserve"> council tax figures based on </w:t>
      </w:r>
      <w:r w:rsidR="006B6CD1" w:rsidRPr="0041771D">
        <w:rPr>
          <w:rFonts w:ascii="Arial" w:eastAsia="Calibri" w:hAnsi="Arial" w:cs="Arial"/>
          <w:szCs w:val="22"/>
        </w:rPr>
        <w:t xml:space="preserve">decisions local authorities made in 2018/19, revised </w:t>
      </w:r>
      <w:proofErr w:type="spellStart"/>
      <w:r w:rsidR="006B6CD1" w:rsidRPr="0041771D">
        <w:rPr>
          <w:rFonts w:ascii="Arial" w:eastAsia="Calibri" w:hAnsi="Arial" w:cs="Arial"/>
          <w:szCs w:val="22"/>
        </w:rPr>
        <w:t>taxbase</w:t>
      </w:r>
      <w:proofErr w:type="spellEnd"/>
      <w:r w:rsidR="006B6CD1" w:rsidRPr="0041771D">
        <w:rPr>
          <w:rFonts w:ascii="Arial" w:eastAsia="Calibri" w:hAnsi="Arial" w:cs="Arial"/>
          <w:szCs w:val="22"/>
        </w:rPr>
        <w:t xml:space="preserve"> growth assumptions, and assump</w:t>
      </w:r>
      <w:r w:rsidR="00F237F9" w:rsidRPr="0041771D">
        <w:rPr>
          <w:rFonts w:ascii="Arial" w:eastAsia="Calibri" w:hAnsi="Arial" w:cs="Arial"/>
          <w:szCs w:val="22"/>
        </w:rPr>
        <w:t>tions on council tax increases;</w:t>
      </w:r>
    </w:p>
    <w:p w14:paraId="094084F9" w14:textId="77777777" w:rsidR="00F237F9" w:rsidRDefault="00F237F9" w:rsidP="00F237F9">
      <w:pPr>
        <w:pStyle w:val="List2"/>
        <w:ind w:left="792" w:firstLine="0"/>
        <w:rPr>
          <w:rFonts w:ascii="Arial" w:eastAsia="Calibri" w:hAnsi="Arial" w:cs="Arial"/>
          <w:szCs w:val="22"/>
        </w:rPr>
      </w:pPr>
    </w:p>
    <w:p w14:paraId="443B6AA8" w14:textId="77777777" w:rsidR="00E57864" w:rsidRPr="00E57864" w:rsidRDefault="00E57864" w:rsidP="00E57864">
      <w:pPr>
        <w:pStyle w:val="List2"/>
        <w:numPr>
          <w:ilvl w:val="1"/>
          <w:numId w:val="1"/>
        </w:numPr>
        <w:rPr>
          <w:rFonts w:ascii="Arial" w:eastAsia="Calibri" w:hAnsi="Arial" w:cs="Arial"/>
          <w:szCs w:val="22"/>
        </w:rPr>
      </w:pPr>
      <w:r w:rsidRPr="00E57864">
        <w:rPr>
          <w:rFonts w:ascii="Arial" w:eastAsia="Calibri" w:hAnsi="Arial" w:cs="Arial"/>
          <w:szCs w:val="22"/>
        </w:rPr>
        <w:t>The following council tax referendum principles were announced:</w:t>
      </w:r>
    </w:p>
    <w:p w14:paraId="367781D4" w14:textId="77777777" w:rsidR="00E57864" w:rsidRPr="00AC4A6A" w:rsidRDefault="00E57864" w:rsidP="00E57864">
      <w:pPr>
        <w:pStyle w:val="ListParagraph"/>
        <w:rPr>
          <w:rFonts w:ascii="Arial" w:hAnsi="Arial" w:cs="Arial"/>
          <w:sz w:val="24"/>
          <w:szCs w:val="24"/>
        </w:rPr>
      </w:pPr>
    </w:p>
    <w:p w14:paraId="21BC70D8" w14:textId="22924B48" w:rsidR="00E57864" w:rsidRDefault="00C63676" w:rsidP="00025492">
      <w:pPr>
        <w:pStyle w:val="ListParagraph"/>
        <w:widowControl w:val="0"/>
        <w:numPr>
          <w:ilvl w:val="2"/>
          <w:numId w:val="1"/>
        </w:numPr>
        <w:ind w:left="1287" w:hanging="567"/>
        <w:contextualSpacing/>
        <w:rPr>
          <w:rFonts w:ascii="Arial" w:hAnsi="Arial" w:cs="Arial"/>
          <w:szCs w:val="22"/>
        </w:rPr>
      </w:pPr>
      <w:r>
        <w:rPr>
          <w:rFonts w:ascii="Arial" w:hAnsi="Arial" w:cs="Arial"/>
          <w:szCs w:val="22"/>
        </w:rPr>
        <w:t>A</w:t>
      </w:r>
      <w:r w:rsidR="00E57864" w:rsidRPr="00E57864">
        <w:rPr>
          <w:rFonts w:ascii="Arial" w:hAnsi="Arial" w:cs="Arial"/>
          <w:szCs w:val="22"/>
        </w:rPr>
        <w:t xml:space="preserve"> core principle of up to 3 per cent applying to shire county councils, unitary authorities, London borough councils, the City of London, the Isles of Scilly, the GLA general precept and fire and rescue autho</w:t>
      </w:r>
      <w:r w:rsidR="0067464F">
        <w:rPr>
          <w:rFonts w:ascii="Arial" w:hAnsi="Arial" w:cs="Arial"/>
          <w:szCs w:val="22"/>
        </w:rPr>
        <w:t>rities.</w:t>
      </w:r>
    </w:p>
    <w:p w14:paraId="63E5D185" w14:textId="77777777" w:rsidR="00025492" w:rsidRPr="00E57864" w:rsidRDefault="00025492" w:rsidP="00025492">
      <w:pPr>
        <w:pStyle w:val="ListParagraph"/>
        <w:widowControl w:val="0"/>
        <w:ind w:left="1287"/>
        <w:contextualSpacing/>
        <w:rPr>
          <w:rFonts w:ascii="Arial" w:hAnsi="Arial" w:cs="Arial"/>
          <w:szCs w:val="22"/>
        </w:rPr>
      </w:pPr>
    </w:p>
    <w:p w14:paraId="5541C53E" w14:textId="3A2305DF" w:rsidR="00E57864" w:rsidRDefault="00C63676" w:rsidP="00025492">
      <w:pPr>
        <w:pStyle w:val="ListParagraph"/>
        <w:widowControl w:val="0"/>
        <w:numPr>
          <w:ilvl w:val="2"/>
          <w:numId w:val="1"/>
        </w:numPr>
        <w:ind w:left="1287" w:hanging="567"/>
        <w:contextualSpacing/>
        <w:rPr>
          <w:rFonts w:ascii="Arial" w:hAnsi="Arial" w:cs="Arial"/>
          <w:szCs w:val="22"/>
        </w:rPr>
      </w:pPr>
      <w:r>
        <w:rPr>
          <w:rFonts w:ascii="Arial" w:hAnsi="Arial" w:cs="Arial"/>
          <w:szCs w:val="22"/>
        </w:rPr>
        <w:t>A</w:t>
      </w:r>
      <w:r w:rsidR="00E57864" w:rsidRPr="00E57864">
        <w:rPr>
          <w:rFonts w:ascii="Arial" w:hAnsi="Arial" w:cs="Arial"/>
          <w:szCs w:val="22"/>
        </w:rPr>
        <w:t xml:space="preserve"> continuation of the Adult Social Care precept, with an additional 2 per cent flexibility available for social care authorities. This is subject to total increases </w:t>
      </w:r>
      <w:r w:rsidR="00E57864" w:rsidRPr="00E57864">
        <w:rPr>
          <w:rFonts w:ascii="Arial" w:hAnsi="Arial" w:cs="Arial"/>
          <w:szCs w:val="22"/>
        </w:rPr>
        <w:lastRenderedPageBreak/>
        <w:t xml:space="preserve">for the Adult Social Care precept not exceeding 6 per cent between 2017/18 and 2019/20, and increases being no more than 2 per cent in 2019/20. </w:t>
      </w:r>
    </w:p>
    <w:p w14:paraId="02A3C126" w14:textId="77777777" w:rsidR="00025492" w:rsidRPr="00E57864" w:rsidRDefault="00025492" w:rsidP="00025492">
      <w:pPr>
        <w:pStyle w:val="ListParagraph"/>
        <w:widowControl w:val="0"/>
        <w:ind w:left="1287"/>
        <w:contextualSpacing/>
        <w:rPr>
          <w:rFonts w:ascii="Arial" w:hAnsi="Arial" w:cs="Arial"/>
          <w:szCs w:val="22"/>
        </w:rPr>
      </w:pPr>
    </w:p>
    <w:p w14:paraId="5738ACE5" w14:textId="58F761A8" w:rsidR="00E57864" w:rsidRDefault="00C63676" w:rsidP="00025492">
      <w:pPr>
        <w:pStyle w:val="ListParagraph"/>
        <w:widowControl w:val="0"/>
        <w:numPr>
          <w:ilvl w:val="2"/>
          <w:numId w:val="1"/>
        </w:numPr>
        <w:ind w:left="1287" w:hanging="567"/>
        <w:contextualSpacing/>
        <w:rPr>
          <w:rFonts w:ascii="Arial" w:hAnsi="Arial" w:cs="Arial"/>
          <w:szCs w:val="22"/>
        </w:rPr>
      </w:pPr>
      <w:r>
        <w:rPr>
          <w:rFonts w:ascii="Arial" w:hAnsi="Arial" w:cs="Arial"/>
          <w:szCs w:val="22"/>
        </w:rPr>
        <w:t>S</w:t>
      </w:r>
      <w:r w:rsidR="00E57864" w:rsidRPr="00E57864">
        <w:rPr>
          <w:rFonts w:ascii="Arial" w:hAnsi="Arial" w:cs="Arial"/>
          <w:szCs w:val="22"/>
        </w:rPr>
        <w:t xml:space="preserve">hire district councils in two-tier areas </w:t>
      </w:r>
      <w:r w:rsidR="0067464F">
        <w:rPr>
          <w:rFonts w:ascii="Arial" w:hAnsi="Arial" w:cs="Arial"/>
          <w:szCs w:val="22"/>
        </w:rPr>
        <w:t>to</w:t>
      </w:r>
      <w:r w:rsidR="00E57864" w:rsidRPr="00E57864">
        <w:rPr>
          <w:rFonts w:ascii="Arial" w:hAnsi="Arial" w:cs="Arial"/>
          <w:szCs w:val="22"/>
        </w:rPr>
        <w:t xml:space="preserve"> be allowed increases of up to 3 per cent, or up to and inc</w:t>
      </w:r>
      <w:r>
        <w:rPr>
          <w:rFonts w:ascii="Arial" w:hAnsi="Arial" w:cs="Arial"/>
          <w:szCs w:val="22"/>
        </w:rPr>
        <w:t>luding £5, whichever is higher.</w:t>
      </w:r>
    </w:p>
    <w:p w14:paraId="3D97C4D7" w14:textId="77777777" w:rsidR="00025492" w:rsidRPr="00E57864" w:rsidRDefault="00025492" w:rsidP="00025492">
      <w:pPr>
        <w:pStyle w:val="ListParagraph"/>
        <w:widowControl w:val="0"/>
        <w:ind w:left="1287"/>
        <w:contextualSpacing/>
        <w:rPr>
          <w:rFonts w:ascii="Arial" w:hAnsi="Arial" w:cs="Arial"/>
          <w:szCs w:val="22"/>
        </w:rPr>
      </w:pPr>
    </w:p>
    <w:p w14:paraId="344DB112" w14:textId="08490DC0" w:rsidR="00E57864" w:rsidRDefault="00C63676" w:rsidP="00025492">
      <w:pPr>
        <w:pStyle w:val="ListParagraph"/>
        <w:widowControl w:val="0"/>
        <w:numPr>
          <w:ilvl w:val="2"/>
          <w:numId w:val="1"/>
        </w:numPr>
        <w:ind w:left="1287" w:hanging="567"/>
        <w:contextualSpacing/>
        <w:rPr>
          <w:rFonts w:ascii="Arial" w:hAnsi="Arial" w:cs="Arial"/>
          <w:szCs w:val="22"/>
        </w:rPr>
      </w:pPr>
      <w:r>
        <w:rPr>
          <w:rFonts w:ascii="Arial" w:hAnsi="Arial" w:cs="Arial"/>
          <w:szCs w:val="22"/>
        </w:rPr>
        <w:t>P</w:t>
      </w:r>
      <w:r w:rsidR="00E57864" w:rsidRPr="00E57864">
        <w:rPr>
          <w:rFonts w:ascii="Arial" w:hAnsi="Arial" w:cs="Arial"/>
          <w:szCs w:val="22"/>
        </w:rPr>
        <w:t xml:space="preserve">olice and crime commissioners (PCCs) </w:t>
      </w:r>
      <w:r w:rsidR="0067464F">
        <w:rPr>
          <w:rFonts w:ascii="Arial" w:hAnsi="Arial" w:cs="Arial"/>
          <w:szCs w:val="22"/>
        </w:rPr>
        <w:t>to</w:t>
      </w:r>
      <w:r w:rsidR="00E57864" w:rsidRPr="00E57864">
        <w:rPr>
          <w:rFonts w:ascii="Arial" w:hAnsi="Arial" w:cs="Arial"/>
          <w:szCs w:val="22"/>
        </w:rPr>
        <w:t xml:space="preserve"> be allowed increases of up to £24 in 2019/20 (including the Greater London Authority charge for the Metropolitan Police, and the PCC component of the Greater Manchest</w:t>
      </w:r>
      <w:r w:rsidR="0067464F">
        <w:rPr>
          <w:rFonts w:ascii="Arial" w:hAnsi="Arial" w:cs="Arial"/>
          <w:szCs w:val="22"/>
        </w:rPr>
        <w:t>er Combined Authority precept).</w:t>
      </w:r>
    </w:p>
    <w:p w14:paraId="4039D3AB" w14:textId="77777777" w:rsidR="00025492" w:rsidRPr="00E57864" w:rsidRDefault="00025492" w:rsidP="00025492">
      <w:pPr>
        <w:pStyle w:val="ListParagraph"/>
        <w:widowControl w:val="0"/>
        <w:ind w:left="1287"/>
        <w:contextualSpacing/>
        <w:rPr>
          <w:rFonts w:ascii="Arial" w:hAnsi="Arial" w:cs="Arial"/>
          <w:szCs w:val="22"/>
        </w:rPr>
      </w:pPr>
    </w:p>
    <w:p w14:paraId="238EDE40" w14:textId="130EA334" w:rsidR="00E57864" w:rsidRDefault="00E57864" w:rsidP="00025492">
      <w:pPr>
        <w:pStyle w:val="ListParagraph"/>
        <w:widowControl w:val="0"/>
        <w:numPr>
          <w:ilvl w:val="2"/>
          <w:numId w:val="1"/>
        </w:numPr>
        <w:ind w:left="1287" w:hanging="567"/>
        <w:contextualSpacing/>
        <w:jc w:val="both"/>
        <w:rPr>
          <w:rFonts w:ascii="Arial" w:hAnsi="Arial" w:cs="Arial"/>
          <w:szCs w:val="22"/>
        </w:rPr>
      </w:pPr>
      <w:r w:rsidRPr="00E57864">
        <w:rPr>
          <w:rFonts w:ascii="Arial" w:hAnsi="Arial" w:cs="Arial"/>
          <w:szCs w:val="22"/>
        </w:rPr>
        <w:t xml:space="preserve">Directly elected mayors </w:t>
      </w:r>
      <w:r w:rsidR="0067464F">
        <w:rPr>
          <w:rFonts w:ascii="Arial" w:hAnsi="Arial" w:cs="Arial"/>
          <w:szCs w:val="22"/>
        </w:rPr>
        <w:t>to</w:t>
      </w:r>
      <w:r w:rsidRPr="00E57864">
        <w:rPr>
          <w:rFonts w:ascii="Arial" w:hAnsi="Arial" w:cs="Arial"/>
          <w:szCs w:val="22"/>
        </w:rPr>
        <w:t xml:space="preserve"> decide the required level of precept by agreement with their combined authorities.</w:t>
      </w:r>
    </w:p>
    <w:p w14:paraId="11F59DA4" w14:textId="77777777" w:rsidR="00025492" w:rsidRPr="00E57864" w:rsidRDefault="00025492" w:rsidP="00025492">
      <w:pPr>
        <w:pStyle w:val="ListParagraph"/>
        <w:widowControl w:val="0"/>
        <w:ind w:left="1287"/>
        <w:contextualSpacing/>
        <w:jc w:val="both"/>
        <w:rPr>
          <w:rFonts w:ascii="Arial" w:hAnsi="Arial" w:cs="Arial"/>
          <w:szCs w:val="22"/>
        </w:rPr>
      </w:pPr>
    </w:p>
    <w:p w14:paraId="3AF10781" w14:textId="77777777" w:rsidR="00E57864" w:rsidRPr="00E57864" w:rsidRDefault="00E57864" w:rsidP="00025492">
      <w:pPr>
        <w:pStyle w:val="ListParagraph"/>
        <w:widowControl w:val="0"/>
        <w:numPr>
          <w:ilvl w:val="2"/>
          <w:numId w:val="1"/>
        </w:numPr>
        <w:ind w:left="1287" w:hanging="567"/>
        <w:contextualSpacing/>
        <w:jc w:val="both"/>
        <w:rPr>
          <w:rFonts w:ascii="Arial" w:hAnsi="Arial" w:cs="Arial"/>
          <w:szCs w:val="22"/>
        </w:rPr>
      </w:pPr>
      <w:r w:rsidRPr="00E57864">
        <w:rPr>
          <w:rFonts w:ascii="Arial" w:hAnsi="Arial" w:cs="Arial"/>
          <w:szCs w:val="22"/>
        </w:rPr>
        <w:t>Continue to defer the setting of referendum limits for town and parish councils.</w:t>
      </w:r>
    </w:p>
    <w:p w14:paraId="2F498909" w14:textId="16430A08" w:rsidR="00E57864" w:rsidRDefault="00E57864" w:rsidP="00F237F9">
      <w:pPr>
        <w:pStyle w:val="List2"/>
        <w:ind w:left="792" w:firstLine="0"/>
        <w:rPr>
          <w:rFonts w:ascii="Arial" w:eastAsia="Calibri" w:hAnsi="Arial" w:cs="Arial"/>
          <w:szCs w:val="22"/>
        </w:rPr>
      </w:pPr>
    </w:p>
    <w:p w14:paraId="01ADB20E" w14:textId="3763A45E" w:rsidR="006B6CD1" w:rsidRDefault="00C63676" w:rsidP="00691985">
      <w:pPr>
        <w:pStyle w:val="List2"/>
        <w:numPr>
          <w:ilvl w:val="1"/>
          <w:numId w:val="1"/>
        </w:numPr>
        <w:rPr>
          <w:rFonts w:ascii="Arial" w:eastAsia="Calibri" w:hAnsi="Arial" w:cs="Arial"/>
          <w:szCs w:val="22"/>
        </w:rPr>
      </w:pPr>
      <w:r>
        <w:rPr>
          <w:rFonts w:ascii="Arial" w:eastAsia="Calibri" w:hAnsi="Arial" w:cs="Arial"/>
          <w:szCs w:val="22"/>
        </w:rPr>
        <w:t xml:space="preserve">The Government </w:t>
      </w:r>
      <w:r w:rsidR="006B6CD1" w:rsidRPr="0052564C">
        <w:rPr>
          <w:rFonts w:ascii="Arial" w:eastAsia="Calibri" w:hAnsi="Arial" w:cs="Arial"/>
          <w:szCs w:val="22"/>
        </w:rPr>
        <w:t>confirmed its decision to remove the downward adjustment to tariffs and top-ups for authorities which would otherwise have been in ‘negative RSG’ for 2019/20. This is bein</w:t>
      </w:r>
      <w:r w:rsidR="00F237F9">
        <w:rPr>
          <w:rFonts w:ascii="Arial" w:eastAsia="Calibri" w:hAnsi="Arial" w:cs="Arial"/>
          <w:szCs w:val="22"/>
        </w:rPr>
        <w:t>g funded by central government;</w:t>
      </w:r>
    </w:p>
    <w:p w14:paraId="6A61A92B" w14:textId="77777777" w:rsidR="00F237F9" w:rsidRPr="0052564C" w:rsidRDefault="00F237F9" w:rsidP="00F237F9">
      <w:pPr>
        <w:pStyle w:val="List2"/>
        <w:ind w:left="0" w:firstLine="0"/>
        <w:rPr>
          <w:rFonts w:ascii="Arial" w:eastAsia="Calibri" w:hAnsi="Arial" w:cs="Arial"/>
          <w:szCs w:val="22"/>
        </w:rPr>
      </w:pPr>
    </w:p>
    <w:p w14:paraId="0F53AB8E" w14:textId="6B901183" w:rsidR="006B6CD1" w:rsidRDefault="006B6CD1" w:rsidP="00691985">
      <w:pPr>
        <w:pStyle w:val="List2"/>
        <w:numPr>
          <w:ilvl w:val="1"/>
          <w:numId w:val="1"/>
        </w:numPr>
        <w:rPr>
          <w:rFonts w:ascii="Arial" w:eastAsia="Calibri" w:hAnsi="Arial" w:cs="Arial"/>
          <w:szCs w:val="22"/>
        </w:rPr>
      </w:pPr>
      <w:r w:rsidRPr="0052564C">
        <w:rPr>
          <w:rFonts w:ascii="Arial" w:eastAsia="Calibri" w:hAnsi="Arial" w:cs="Arial"/>
          <w:szCs w:val="22"/>
        </w:rPr>
        <w:t xml:space="preserve">New Homes Bonus allocations </w:t>
      </w:r>
      <w:r w:rsidR="00C63676">
        <w:rPr>
          <w:rFonts w:ascii="Arial" w:eastAsia="Calibri" w:hAnsi="Arial" w:cs="Arial"/>
          <w:szCs w:val="22"/>
        </w:rPr>
        <w:t xml:space="preserve">were </w:t>
      </w:r>
      <w:r w:rsidRPr="0052564C">
        <w:rPr>
          <w:rFonts w:ascii="Arial" w:eastAsia="Calibri" w:hAnsi="Arial" w:cs="Arial"/>
          <w:szCs w:val="22"/>
        </w:rPr>
        <w:t>revised to reflect actual ho</w:t>
      </w:r>
      <w:r w:rsidR="00C63676">
        <w:rPr>
          <w:rFonts w:ascii="Arial" w:eastAsia="Calibri" w:hAnsi="Arial" w:cs="Arial"/>
          <w:szCs w:val="22"/>
        </w:rPr>
        <w:t>using growth. The Government did not increase</w:t>
      </w:r>
      <w:r w:rsidRPr="0052564C">
        <w:rPr>
          <w:rFonts w:ascii="Arial" w:eastAsia="Calibri" w:hAnsi="Arial" w:cs="Arial"/>
          <w:szCs w:val="22"/>
        </w:rPr>
        <w:t xml:space="preserve"> the New Homes Bonus threshold</w:t>
      </w:r>
      <w:r w:rsidR="00C63676">
        <w:rPr>
          <w:rFonts w:ascii="Arial" w:eastAsia="Calibri" w:hAnsi="Arial" w:cs="Arial"/>
          <w:szCs w:val="22"/>
        </w:rPr>
        <w:t xml:space="preserve"> and has</w:t>
      </w:r>
      <w:r w:rsidR="00E57864">
        <w:rPr>
          <w:rFonts w:ascii="Arial" w:eastAsia="Calibri" w:hAnsi="Arial" w:cs="Arial"/>
          <w:szCs w:val="22"/>
        </w:rPr>
        <w:t xml:space="preserve"> </w:t>
      </w:r>
      <w:r w:rsidR="00C63676">
        <w:rPr>
          <w:rFonts w:ascii="Arial" w:eastAsia="Calibri" w:hAnsi="Arial" w:cs="Arial"/>
          <w:szCs w:val="22"/>
        </w:rPr>
        <w:t>committed</w:t>
      </w:r>
      <w:r w:rsidRPr="0052564C">
        <w:rPr>
          <w:rFonts w:ascii="Arial" w:eastAsia="Calibri" w:hAnsi="Arial" w:cs="Arial"/>
          <w:szCs w:val="22"/>
        </w:rPr>
        <w:t xml:space="preserve"> up t</w:t>
      </w:r>
      <w:r w:rsidR="00F237F9">
        <w:rPr>
          <w:rFonts w:ascii="Arial" w:eastAsia="Calibri" w:hAnsi="Arial" w:cs="Arial"/>
          <w:szCs w:val="22"/>
        </w:rPr>
        <w:t xml:space="preserve">o £20 million to </w:t>
      </w:r>
      <w:r w:rsidR="00E57864">
        <w:rPr>
          <w:rFonts w:ascii="Arial" w:eastAsia="Calibri" w:hAnsi="Arial" w:cs="Arial"/>
          <w:szCs w:val="22"/>
        </w:rPr>
        <w:t>fund</w:t>
      </w:r>
      <w:r w:rsidR="00F237F9">
        <w:rPr>
          <w:rFonts w:ascii="Arial" w:eastAsia="Calibri" w:hAnsi="Arial" w:cs="Arial"/>
          <w:szCs w:val="22"/>
        </w:rPr>
        <w:t xml:space="preserve"> this;</w:t>
      </w:r>
    </w:p>
    <w:p w14:paraId="0279A763" w14:textId="77777777" w:rsidR="00F237F9" w:rsidRPr="0052564C" w:rsidRDefault="00F237F9" w:rsidP="00F237F9">
      <w:pPr>
        <w:pStyle w:val="List2"/>
        <w:ind w:left="0" w:firstLine="0"/>
        <w:rPr>
          <w:rFonts w:ascii="Arial" w:eastAsia="Calibri" w:hAnsi="Arial" w:cs="Arial"/>
          <w:szCs w:val="22"/>
        </w:rPr>
      </w:pPr>
    </w:p>
    <w:p w14:paraId="4C43EA15" w14:textId="75CD8533" w:rsidR="006B6CD1" w:rsidRDefault="00C63676" w:rsidP="00691985">
      <w:pPr>
        <w:pStyle w:val="List2"/>
        <w:numPr>
          <w:ilvl w:val="1"/>
          <w:numId w:val="1"/>
        </w:numPr>
        <w:rPr>
          <w:rFonts w:ascii="Arial" w:eastAsia="Calibri" w:hAnsi="Arial" w:cs="Arial"/>
          <w:szCs w:val="22"/>
        </w:rPr>
      </w:pPr>
      <w:r>
        <w:rPr>
          <w:rFonts w:ascii="Arial" w:eastAsia="Calibri" w:hAnsi="Arial" w:cs="Arial"/>
          <w:szCs w:val="22"/>
        </w:rPr>
        <w:t xml:space="preserve">A return of </w:t>
      </w:r>
      <w:r w:rsidR="006B6CD1" w:rsidRPr="0052564C">
        <w:rPr>
          <w:rFonts w:ascii="Arial" w:eastAsia="Calibri" w:hAnsi="Arial" w:cs="Arial"/>
          <w:szCs w:val="22"/>
        </w:rPr>
        <w:t>£180 million of surplus on the levy account distributed to all councils based on the 2013/14 Settlement Funding Assessment;</w:t>
      </w:r>
    </w:p>
    <w:p w14:paraId="0917F816" w14:textId="77777777" w:rsidR="00F237F9" w:rsidRPr="0052564C" w:rsidRDefault="00F237F9" w:rsidP="00F237F9">
      <w:pPr>
        <w:pStyle w:val="List2"/>
        <w:ind w:left="0" w:firstLine="0"/>
        <w:rPr>
          <w:rFonts w:ascii="Arial" w:eastAsia="Calibri" w:hAnsi="Arial" w:cs="Arial"/>
          <w:szCs w:val="22"/>
        </w:rPr>
      </w:pPr>
    </w:p>
    <w:p w14:paraId="6DFD1A82" w14:textId="614D1B60" w:rsidR="00B63540" w:rsidRPr="0052564C" w:rsidRDefault="006B6CD1" w:rsidP="00691985">
      <w:pPr>
        <w:pStyle w:val="List2"/>
        <w:numPr>
          <w:ilvl w:val="1"/>
          <w:numId w:val="1"/>
        </w:numPr>
        <w:rPr>
          <w:rFonts w:ascii="Arial" w:eastAsia="Calibri" w:hAnsi="Arial" w:cs="Arial"/>
          <w:szCs w:val="22"/>
        </w:rPr>
      </w:pPr>
      <w:r w:rsidRPr="0052564C">
        <w:rPr>
          <w:rFonts w:ascii="Arial" w:eastAsia="Calibri" w:hAnsi="Arial" w:cs="Arial"/>
          <w:szCs w:val="22"/>
        </w:rPr>
        <w:t xml:space="preserve">15 local authority areas to pilot 75 per cent Business Rates Retention in 2019/20, as well as all London boroughs and the City of London Corporation (previously 100 per cent in 2018/19). The five 100 per cent business rates pilots which started in 2017/18 </w:t>
      </w:r>
      <w:r w:rsidR="00C63676">
        <w:rPr>
          <w:rFonts w:ascii="Arial" w:eastAsia="Calibri" w:hAnsi="Arial" w:cs="Arial"/>
          <w:szCs w:val="22"/>
        </w:rPr>
        <w:t>to</w:t>
      </w:r>
      <w:r w:rsidR="0067464F">
        <w:rPr>
          <w:rFonts w:ascii="Arial" w:eastAsia="Calibri" w:hAnsi="Arial" w:cs="Arial"/>
          <w:szCs w:val="22"/>
        </w:rPr>
        <w:t xml:space="preserve"> continue at 100 per</w:t>
      </w:r>
      <w:r w:rsidRPr="0052564C">
        <w:rPr>
          <w:rFonts w:ascii="Arial" w:eastAsia="Calibri" w:hAnsi="Arial" w:cs="Arial"/>
          <w:szCs w:val="22"/>
        </w:rPr>
        <w:t xml:space="preserve"> cent in 2019/20. This should have no financial effect on non-pilot authorities.</w:t>
      </w:r>
    </w:p>
    <w:p w14:paraId="0F10A7A0" w14:textId="77777777" w:rsidR="00B63540" w:rsidRPr="0067464F" w:rsidRDefault="00B63540" w:rsidP="00071400">
      <w:pPr>
        <w:jc w:val="both"/>
        <w:rPr>
          <w:rFonts w:ascii="Arial" w:hAnsi="Arial" w:cs="Arial"/>
          <w:szCs w:val="22"/>
        </w:rPr>
      </w:pPr>
    </w:p>
    <w:p w14:paraId="382AEB17" w14:textId="60BAFBD8" w:rsidR="00071400" w:rsidRPr="00F237F9" w:rsidRDefault="00071400" w:rsidP="00F237F9">
      <w:pPr>
        <w:pStyle w:val="ListParagraph"/>
        <w:ind w:left="0"/>
        <w:jc w:val="both"/>
        <w:rPr>
          <w:rFonts w:ascii="Arial" w:hAnsi="Arial" w:cs="Arial"/>
          <w:b/>
          <w:szCs w:val="22"/>
        </w:rPr>
      </w:pPr>
      <w:r w:rsidRPr="00F237F9">
        <w:rPr>
          <w:rFonts w:ascii="Arial" w:hAnsi="Arial" w:cs="Arial"/>
          <w:b/>
          <w:szCs w:val="22"/>
        </w:rPr>
        <w:t>The LGA response</w:t>
      </w:r>
    </w:p>
    <w:p w14:paraId="6D27645A" w14:textId="77777777" w:rsidR="00F237F9" w:rsidRPr="00411FE8" w:rsidRDefault="00F237F9" w:rsidP="00411FE8">
      <w:pPr>
        <w:jc w:val="both"/>
        <w:rPr>
          <w:rFonts w:ascii="Arial" w:hAnsi="Arial" w:cs="Arial"/>
          <w:szCs w:val="22"/>
        </w:rPr>
      </w:pPr>
    </w:p>
    <w:p w14:paraId="75E19838" w14:textId="3AD4CC3A" w:rsidR="00071400" w:rsidRPr="008A6F8A" w:rsidRDefault="00071400" w:rsidP="008A6F8A">
      <w:pPr>
        <w:pStyle w:val="ListParagraph"/>
        <w:numPr>
          <w:ilvl w:val="0"/>
          <w:numId w:val="1"/>
        </w:numPr>
        <w:rPr>
          <w:rFonts w:ascii="Arial" w:hAnsi="Arial" w:cs="Arial"/>
          <w:szCs w:val="22"/>
        </w:rPr>
      </w:pPr>
      <w:r w:rsidRPr="008A6F8A">
        <w:rPr>
          <w:rFonts w:ascii="Arial" w:hAnsi="Arial" w:cs="Arial"/>
          <w:szCs w:val="22"/>
        </w:rPr>
        <w:t>On the basis of the views set out in the LGA on-the-day briefing, subsequent further analysis of the announcements in the settlement</w:t>
      </w:r>
      <w:r w:rsidR="00B5158A" w:rsidRPr="008A6F8A">
        <w:rPr>
          <w:rFonts w:ascii="Arial" w:hAnsi="Arial" w:cs="Arial"/>
          <w:szCs w:val="22"/>
        </w:rPr>
        <w:t xml:space="preserve"> and views gathered from member authorities</w:t>
      </w:r>
      <w:r w:rsidRPr="008A6F8A">
        <w:rPr>
          <w:rFonts w:ascii="Arial" w:hAnsi="Arial" w:cs="Arial"/>
          <w:szCs w:val="22"/>
        </w:rPr>
        <w:t xml:space="preserve">, </w:t>
      </w:r>
      <w:hyperlink r:id="rId18" w:history="1">
        <w:r w:rsidR="00A91221" w:rsidRPr="008532A6">
          <w:rPr>
            <w:rStyle w:val="Hyperlink"/>
            <w:rFonts w:ascii="Arial" w:hAnsi="Arial" w:cs="Arial"/>
            <w:szCs w:val="22"/>
          </w:rPr>
          <w:t>a formal response</w:t>
        </w:r>
      </w:hyperlink>
      <w:r w:rsidR="00B5158A" w:rsidRPr="008A6F8A">
        <w:rPr>
          <w:rFonts w:ascii="Arial" w:hAnsi="Arial" w:cs="Arial"/>
          <w:szCs w:val="22"/>
        </w:rPr>
        <w:t xml:space="preserve"> was</w:t>
      </w:r>
      <w:r w:rsidR="00A91221" w:rsidRPr="008A6F8A">
        <w:rPr>
          <w:rFonts w:ascii="Arial" w:hAnsi="Arial" w:cs="Arial"/>
          <w:szCs w:val="22"/>
        </w:rPr>
        <w:t xml:space="preserve"> cleared by </w:t>
      </w:r>
      <w:r w:rsidR="00624407" w:rsidRPr="008A6F8A">
        <w:rPr>
          <w:rFonts w:ascii="Arial" w:hAnsi="Arial" w:cs="Arial"/>
          <w:szCs w:val="22"/>
        </w:rPr>
        <w:t xml:space="preserve">the Chairman, </w:t>
      </w:r>
      <w:r w:rsidR="00A91221" w:rsidRPr="008A6F8A">
        <w:rPr>
          <w:rFonts w:ascii="Arial" w:hAnsi="Arial" w:cs="Arial"/>
          <w:szCs w:val="22"/>
        </w:rPr>
        <w:t>LGA Political Group Leaders and Lead Members of Resources Board</w:t>
      </w:r>
      <w:r w:rsidR="009157AC" w:rsidRPr="008A6F8A">
        <w:rPr>
          <w:rFonts w:ascii="Arial" w:hAnsi="Arial" w:cs="Arial"/>
          <w:szCs w:val="22"/>
        </w:rPr>
        <w:t xml:space="preserve">.  </w:t>
      </w:r>
      <w:r w:rsidR="00624407" w:rsidRPr="008A6F8A">
        <w:rPr>
          <w:rFonts w:ascii="Arial" w:hAnsi="Arial" w:cs="Arial"/>
          <w:szCs w:val="22"/>
        </w:rPr>
        <w:t>It</w:t>
      </w:r>
      <w:r w:rsidR="00A91221" w:rsidRPr="008A6F8A">
        <w:rPr>
          <w:rFonts w:ascii="Arial" w:hAnsi="Arial" w:cs="Arial"/>
          <w:szCs w:val="22"/>
        </w:rPr>
        <w:t xml:space="preserve"> was submitted in line with the Government’s deadline</w:t>
      </w:r>
      <w:r w:rsidRPr="008A6F8A">
        <w:rPr>
          <w:rFonts w:ascii="Arial" w:hAnsi="Arial" w:cs="Arial"/>
          <w:szCs w:val="22"/>
        </w:rPr>
        <w:t>.</w:t>
      </w:r>
    </w:p>
    <w:p w14:paraId="5AAE170F" w14:textId="77777777" w:rsidR="00F237F9" w:rsidRPr="008A6F8A" w:rsidRDefault="00F237F9" w:rsidP="008A6F8A">
      <w:pPr>
        <w:pStyle w:val="ListParagraph"/>
        <w:ind w:left="360"/>
        <w:rPr>
          <w:rFonts w:ascii="Arial" w:hAnsi="Arial" w:cs="Arial"/>
          <w:szCs w:val="22"/>
        </w:rPr>
      </w:pPr>
    </w:p>
    <w:p w14:paraId="05D9DC13" w14:textId="742A2719" w:rsidR="002B1498" w:rsidRPr="008A6F8A" w:rsidRDefault="00071400" w:rsidP="008A6F8A">
      <w:pPr>
        <w:pStyle w:val="ListParagraph"/>
        <w:numPr>
          <w:ilvl w:val="0"/>
          <w:numId w:val="1"/>
        </w:numPr>
        <w:rPr>
          <w:rFonts w:ascii="Arial" w:hAnsi="Arial" w:cs="Arial"/>
          <w:szCs w:val="22"/>
        </w:rPr>
      </w:pPr>
      <w:r w:rsidRPr="008A6F8A">
        <w:rPr>
          <w:rFonts w:ascii="Arial" w:hAnsi="Arial" w:cs="Arial"/>
          <w:szCs w:val="22"/>
        </w:rPr>
        <w:t>The following are the key messages of the response:</w:t>
      </w:r>
    </w:p>
    <w:p w14:paraId="28F74DBB" w14:textId="6A5FF96D" w:rsidR="003D50FC" w:rsidRPr="003D50FC" w:rsidRDefault="003D50FC" w:rsidP="00FB6CEA">
      <w:pPr>
        <w:pStyle w:val="ListParagraph"/>
        <w:ind w:left="792"/>
        <w:rPr>
          <w:rFonts w:ascii="Arial" w:eastAsia="Calibri" w:hAnsi="Arial" w:cs="Arial"/>
          <w:szCs w:val="22"/>
        </w:rPr>
      </w:pPr>
    </w:p>
    <w:p w14:paraId="432A18FE"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 xml:space="preserve">The extra funding in the 2018 Budget, including an additional £650 million for children and adults, and £420 million for roads funding showed that the Government is listening to the LGA’s call for desperately needed investment to ease some of the pressure facing local services next year. Councils, however, will still face an overall funding gap of over </w:t>
      </w:r>
      <w:r w:rsidRPr="002C35A9">
        <w:rPr>
          <w:rFonts w:ascii="Arial" w:eastAsia="Calibri" w:hAnsi="Arial" w:cs="Arial" w:hint="eastAsia"/>
          <w:szCs w:val="22"/>
        </w:rPr>
        <w:t>£</w:t>
      </w:r>
      <w:r w:rsidRPr="002C35A9">
        <w:rPr>
          <w:rFonts w:ascii="Arial" w:eastAsia="Calibri" w:hAnsi="Arial" w:cs="Arial"/>
          <w:szCs w:val="22"/>
        </w:rPr>
        <w:t xml:space="preserve">3 billion in 2019/20. It is therefore disappointing that the Government has not used the settlement to provide further desperately needed resources for councils next year. Many councils will be forced to take tough </w:t>
      </w:r>
      <w:r w:rsidRPr="002C35A9">
        <w:rPr>
          <w:rFonts w:ascii="Arial" w:eastAsia="Calibri" w:hAnsi="Arial" w:cs="Arial"/>
          <w:szCs w:val="22"/>
        </w:rPr>
        <w:lastRenderedPageBreak/>
        <w:t>decisions about which services have to be scaled back, or stopped altogether, to plug funding gaps. It is vital that the Government provides new funding for all councils in the final settlement, and uses the 2019 Spending Review to deliver truly sustainable funding for local government.</w:t>
      </w:r>
    </w:p>
    <w:p w14:paraId="410D8E2F" w14:textId="77777777" w:rsidR="002C35A9" w:rsidRPr="002C35A9" w:rsidRDefault="002C35A9" w:rsidP="002C35A9">
      <w:pPr>
        <w:pStyle w:val="List2"/>
        <w:ind w:left="792" w:firstLine="0"/>
        <w:rPr>
          <w:rFonts w:ascii="Arial" w:eastAsia="Calibri" w:hAnsi="Arial" w:cs="Arial"/>
          <w:szCs w:val="22"/>
        </w:rPr>
      </w:pPr>
    </w:p>
    <w:p w14:paraId="4014669C"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 xml:space="preserve">The additional one-off funding for adults and children’s services announced in the 2018 Budget is welcome. However, there is still a substantial funding gap facing children’s and adult social care in 2019/20. As the Public Accounts Committee has </w:t>
      </w:r>
      <w:hyperlink r:id="rId19" w:history="1">
        <w:r w:rsidRPr="0048513E">
          <w:rPr>
            <w:rFonts w:ascii="Arial" w:eastAsia="Calibri" w:hAnsi="Arial" w:cs="Arial"/>
            <w:szCs w:val="22"/>
          </w:rPr>
          <w:t>acknowledged</w:t>
        </w:r>
      </w:hyperlink>
      <w:r w:rsidRPr="002C35A9">
        <w:rPr>
          <w:rFonts w:ascii="Arial" w:eastAsia="Calibri" w:hAnsi="Arial" w:cs="Arial"/>
          <w:szCs w:val="22"/>
        </w:rPr>
        <w:t>, local authorities are under real strain. Key services that support vulnerable people, such as social care and housing, are now under enormous pressure.</w:t>
      </w:r>
    </w:p>
    <w:p w14:paraId="69B137BA" w14:textId="77777777" w:rsidR="002C35A9" w:rsidRPr="002C35A9" w:rsidRDefault="002C35A9" w:rsidP="002C35A9">
      <w:pPr>
        <w:pStyle w:val="List2"/>
        <w:ind w:left="792" w:firstLine="0"/>
        <w:rPr>
          <w:rFonts w:ascii="Arial" w:eastAsia="Calibri" w:hAnsi="Arial" w:cs="Arial"/>
          <w:szCs w:val="22"/>
        </w:rPr>
      </w:pPr>
    </w:p>
    <w:p w14:paraId="4EB3B83B"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We have repeatedly warned of the serious consequences of the funding pressures facing these services. An injection of new money from central government is the only way to protect the vital services which care for older and disabled people, protect children and support families. In response to our own green paper on social care and wellbeing, we are calling on the Government to make the case for national tax rises or a new insurance scheme so that current and future generations can be confident they will be supported to stay healthy and well and can access the care and support they need to help them maintain their independence and wellbeing.</w:t>
      </w:r>
    </w:p>
    <w:p w14:paraId="5FAF8B38" w14:textId="77777777" w:rsidR="002C35A9" w:rsidRPr="002C35A9" w:rsidRDefault="002C35A9" w:rsidP="002C35A9">
      <w:pPr>
        <w:pStyle w:val="List2"/>
        <w:ind w:left="792" w:firstLine="0"/>
        <w:rPr>
          <w:rFonts w:ascii="Arial" w:eastAsia="Calibri" w:hAnsi="Arial" w:cs="Arial"/>
          <w:szCs w:val="22"/>
        </w:rPr>
      </w:pPr>
    </w:p>
    <w:p w14:paraId="6C7CD0BD"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The continuation of the higher referendum limit for council tax increases will give some councils the option of raising extra money to offset some of the financial pressures they face next year. For shire districts with the lowest council tax levels the 3 per cent limit does not provide any more spending power, as they can already increase council tax by 3 per cent or more due to the £5 flexibility. For many other district councils, the positive impact is minimal for the same reason. We call on the Government to offer further flexibility to these councils.</w:t>
      </w:r>
    </w:p>
    <w:p w14:paraId="0B60C3FF" w14:textId="77777777" w:rsidR="002C35A9" w:rsidRPr="002C35A9" w:rsidRDefault="002C35A9" w:rsidP="002C35A9">
      <w:pPr>
        <w:pStyle w:val="List2"/>
        <w:ind w:left="792" w:firstLine="0"/>
        <w:rPr>
          <w:rFonts w:ascii="Arial" w:eastAsia="Calibri" w:hAnsi="Arial" w:cs="Arial"/>
          <w:szCs w:val="22"/>
        </w:rPr>
      </w:pPr>
    </w:p>
    <w:p w14:paraId="1A4BBF51" w14:textId="28E497EF"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No national tax is subject to</w:t>
      </w:r>
      <w:r w:rsidR="00543494">
        <w:rPr>
          <w:rFonts w:ascii="Arial" w:eastAsia="Calibri" w:hAnsi="Arial" w:cs="Arial"/>
          <w:szCs w:val="22"/>
        </w:rPr>
        <w:t xml:space="preserve"> a</w:t>
      </w:r>
      <w:r w:rsidRPr="002C35A9">
        <w:rPr>
          <w:rFonts w:ascii="Arial" w:eastAsia="Calibri" w:hAnsi="Arial" w:cs="Arial"/>
          <w:szCs w:val="22"/>
        </w:rPr>
        <w:t xml:space="preserve"> referendum. The council tax referendum limit needs to be abolished so councils and their communities can decide how local services are paid for, democratically, through the ballot box. On its own, however, council tax flexibility is not a sustainable solution to the funding crisis. Increasing council tax raises different amounts of money in different parts of the country, unrelated to need. </w:t>
      </w:r>
    </w:p>
    <w:p w14:paraId="66F74A4F" w14:textId="77777777" w:rsidR="002C35A9" w:rsidRPr="002C35A9" w:rsidRDefault="002C35A9" w:rsidP="002C35A9">
      <w:pPr>
        <w:pStyle w:val="List2"/>
        <w:ind w:left="792" w:firstLine="0"/>
        <w:rPr>
          <w:rFonts w:ascii="Arial" w:eastAsia="Calibri" w:hAnsi="Arial" w:cs="Arial"/>
          <w:szCs w:val="22"/>
        </w:rPr>
      </w:pPr>
    </w:p>
    <w:p w14:paraId="37EAA845" w14:textId="17C9E69A"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 xml:space="preserve">We welcome the Government’s decision not to increase the New Homes Bonus (NHB) threshold further next year, and the provision of up to £20 million to fund this. The LGA would </w:t>
      </w:r>
      <w:hyperlink r:id="rId20" w:history="1">
        <w:r w:rsidRPr="002C35A9">
          <w:rPr>
            <w:rFonts w:ascii="Arial" w:eastAsia="Calibri" w:hAnsi="Arial" w:cs="Arial"/>
            <w:szCs w:val="22"/>
          </w:rPr>
          <w:t>welcome</w:t>
        </w:r>
      </w:hyperlink>
      <w:r w:rsidRPr="002C35A9">
        <w:rPr>
          <w:rFonts w:ascii="Arial" w:eastAsia="Calibri" w:hAnsi="Arial" w:cs="Arial"/>
          <w:szCs w:val="22"/>
        </w:rPr>
        <w:t xml:space="preserve"> the opportunity to continue working with the Government on how we can support house building. In response to the case from councils, the Government has recently consulted on increasing the level of Right to Buy receipts councils can reinvest in replacements. We look forward to the Government’s proposals on next steps and hope that it allows councils to retain 100</w:t>
      </w:r>
      <w:r w:rsidR="00124088">
        <w:rPr>
          <w:rFonts w:ascii="Arial" w:eastAsia="Calibri" w:hAnsi="Arial" w:cs="Arial"/>
          <w:szCs w:val="22"/>
        </w:rPr>
        <w:t xml:space="preserve"> per cent</w:t>
      </w:r>
      <w:r w:rsidRPr="002C35A9">
        <w:rPr>
          <w:rFonts w:ascii="Arial" w:eastAsia="Calibri" w:hAnsi="Arial" w:cs="Arial"/>
          <w:szCs w:val="22"/>
        </w:rPr>
        <w:t xml:space="preserve"> of their receipts.</w:t>
      </w:r>
    </w:p>
    <w:p w14:paraId="4046244D" w14:textId="77777777" w:rsidR="002C35A9" w:rsidRPr="002C35A9" w:rsidRDefault="002C35A9" w:rsidP="002C35A9">
      <w:pPr>
        <w:pStyle w:val="List2"/>
        <w:ind w:left="792" w:firstLine="0"/>
        <w:rPr>
          <w:rFonts w:ascii="Arial" w:eastAsia="Calibri" w:hAnsi="Arial" w:cs="Arial"/>
          <w:szCs w:val="22"/>
        </w:rPr>
      </w:pPr>
    </w:p>
    <w:p w14:paraId="5DEB7184"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 xml:space="preserve">Further Business Rates Retention pilots will enable aspects of the 75 per cent Business Rates Retention system to be tested prior to implementation for all in 2020/21. We will respond to consultations on further Business Rates Retention and the Fair Funding Review in due course and will continue to work with the </w:t>
      </w:r>
      <w:r w:rsidRPr="002C35A9">
        <w:rPr>
          <w:rFonts w:ascii="Arial" w:eastAsia="Calibri" w:hAnsi="Arial" w:cs="Arial"/>
          <w:szCs w:val="22"/>
        </w:rPr>
        <w:lastRenderedPageBreak/>
        <w:t>Government on these reforms, including tackling the impact of business rates appeals on local authorities.</w:t>
      </w:r>
    </w:p>
    <w:p w14:paraId="2C6EC319" w14:textId="77777777" w:rsidR="002C35A9" w:rsidRPr="002C35A9" w:rsidRDefault="002C35A9" w:rsidP="002C35A9">
      <w:pPr>
        <w:pStyle w:val="List2"/>
        <w:ind w:left="792" w:firstLine="0"/>
        <w:rPr>
          <w:rFonts w:ascii="Arial" w:eastAsia="Calibri" w:hAnsi="Arial" w:cs="Arial"/>
          <w:szCs w:val="22"/>
        </w:rPr>
      </w:pPr>
    </w:p>
    <w:p w14:paraId="303F705F"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We acknowledge that the Government has provided extra resources to some councils in 2019/20 to cancel the ‘negative RSG’ adjustment to tariffs and top-ups. The Government has also made an extra £16 million available through the Rural Services Delivery Grant. Councils which receive the extra resources will welcome this. The Government should use the 2019/20 final Settlement, the Fair Funding Review and 2019 Spending Review to provide the appropriate level of funding to all councils.</w:t>
      </w:r>
    </w:p>
    <w:p w14:paraId="0CC6C1A2" w14:textId="77777777" w:rsidR="002C35A9" w:rsidRPr="002C35A9" w:rsidRDefault="002C35A9" w:rsidP="002C35A9">
      <w:pPr>
        <w:pStyle w:val="List2"/>
        <w:ind w:left="792" w:firstLine="0"/>
        <w:rPr>
          <w:rFonts w:ascii="Arial" w:eastAsia="Calibri" w:hAnsi="Arial" w:cs="Arial"/>
          <w:szCs w:val="22"/>
        </w:rPr>
      </w:pPr>
    </w:p>
    <w:p w14:paraId="3FFF2484"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It is right that the £180 million surplus on the levy account is returned to local government, as it was top-sliced from Revenue Support Grant.</w:t>
      </w:r>
    </w:p>
    <w:p w14:paraId="3A28AC6D" w14:textId="77777777" w:rsidR="002C35A9" w:rsidRPr="002C35A9" w:rsidRDefault="002C35A9" w:rsidP="002C35A9">
      <w:pPr>
        <w:pStyle w:val="List2"/>
        <w:ind w:left="792" w:firstLine="0"/>
        <w:rPr>
          <w:rFonts w:ascii="Arial" w:eastAsia="Calibri" w:hAnsi="Arial" w:cs="Arial"/>
          <w:szCs w:val="22"/>
        </w:rPr>
      </w:pPr>
    </w:p>
    <w:p w14:paraId="456BAE95" w14:textId="3B1398B0" w:rsidR="002C35A9" w:rsidRPr="002C35A9" w:rsidRDefault="002C35A9" w:rsidP="00B50001">
      <w:pPr>
        <w:pStyle w:val="List2"/>
        <w:numPr>
          <w:ilvl w:val="1"/>
          <w:numId w:val="1"/>
        </w:numPr>
        <w:ind w:left="794" w:hanging="567"/>
        <w:rPr>
          <w:rFonts w:ascii="Arial" w:eastAsia="Calibri" w:hAnsi="Arial" w:cs="Arial"/>
          <w:szCs w:val="22"/>
        </w:rPr>
      </w:pPr>
      <w:r w:rsidRPr="002C35A9">
        <w:rPr>
          <w:rFonts w:ascii="Arial" w:eastAsia="Calibri" w:hAnsi="Arial" w:cs="Arial"/>
          <w:szCs w:val="22"/>
        </w:rPr>
        <w:t>The four year deal runs out in March 2020. In order for councils to budget successfully they need clarity on future funding as soon as possible. We recognise that transformation, can reduce costs in the longer term results but these savings take some time to deliver and there are costs in the shorter term.  In addition, many service contracts are long term which limits the ability of councils to make immediate changes to the volume or nature of services or to reduce costs. We therefore remain concerned that there is no clarity over funding levels, for both the national pot and local allocations, and any council tax referendum limits, after March 2020. Nor do councils know how they will be affected by the implementation of a new funding formula alongside further business rates retention.  This hampers meaningful financial planning at a time when central government grant funding is the lowest it has been for decades and demand pressures are increasing. We call on the Government</w:t>
      </w:r>
      <w:r w:rsidR="00543494">
        <w:rPr>
          <w:rFonts w:ascii="Arial" w:eastAsia="Calibri" w:hAnsi="Arial" w:cs="Arial"/>
          <w:szCs w:val="22"/>
        </w:rPr>
        <w:t xml:space="preserve"> to</w:t>
      </w:r>
      <w:r w:rsidRPr="002C35A9">
        <w:rPr>
          <w:rFonts w:ascii="Arial" w:eastAsia="Calibri" w:hAnsi="Arial" w:cs="Arial"/>
          <w:szCs w:val="22"/>
        </w:rPr>
        <w:t xml:space="preserve"> commit to a full assessment of the overall funding needs of local government in the 2019 Spending Review and guarantee to fully fund them.</w:t>
      </w:r>
    </w:p>
    <w:p w14:paraId="4F1573ED" w14:textId="77777777" w:rsidR="002C35A9" w:rsidRPr="002C35A9" w:rsidRDefault="002C35A9" w:rsidP="00B50001">
      <w:pPr>
        <w:pStyle w:val="List2"/>
        <w:ind w:left="794" w:hanging="567"/>
        <w:rPr>
          <w:rFonts w:ascii="Arial" w:eastAsia="Calibri" w:hAnsi="Arial" w:cs="Arial"/>
          <w:szCs w:val="22"/>
        </w:rPr>
      </w:pPr>
    </w:p>
    <w:p w14:paraId="22DBBC46" w14:textId="050D3739" w:rsidR="009D23EE" w:rsidRPr="0052564C" w:rsidRDefault="002C35A9" w:rsidP="00B50001">
      <w:pPr>
        <w:pStyle w:val="List2"/>
        <w:numPr>
          <w:ilvl w:val="1"/>
          <w:numId w:val="1"/>
        </w:numPr>
        <w:ind w:left="794" w:hanging="567"/>
        <w:rPr>
          <w:rFonts w:ascii="Arial" w:eastAsia="Calibri" w:hAnsi="Arial" w:cs="Arial"/>
          <w:szCs w:val="22"/>
        </w:rPr>
      </w:pPr>
      <w:r w:rsidRPr="002C35A9">
        <w:rPr>
          <w:rFonts w:ascii="Arial" w:eastAsia="Calibri" w:hAnsi="Arial" w:cs="Arial"/>
          <w:szCs w:val="22"/>
        </w:rPr>
        <w:t>We welcome the earlier Autumn Budget this year and the Government’s aim of a settlement on 6th December. It was a shame that due to other circumstances there was a delay of a week. We call for the Government to continue to commit to earlier settlements, as promised in the response to the Hudson Review.</w:t>
      </w:r>
    </w:p>
    <w:p w14:paraId="2B76B01A" w14:textId="39DE15B7" w:rsidR="00071400" w:rsidRDefault="00071400" w:rsidP="002B1498">
      <w:pPr>
        <w:jc w:val="both"/>
        <w:rPr>
          <w:rFonts w:ascii="Arial" w:hAnsi="Arial" w:cs="Arial"/>
          <w:szCs w:val="22"/>
        </w:rPr>
      </w:pPr>
    </w:p>
    <w:p w14:paraId="08D87236" w14:textId="49C8BCB4" w:rsidR="00AC247E" w:rsidRPr="00AC247E" w:rsidRDefault="009D23EE" w:rsidP="008A6F8A">
      <w:pPr>
        <w:pStyle w:val="ListParagraph"/>
        <w:numPr>
          <w:ilvl w:val="0"/>
          <w:numId w:val="1"/>
        </w:numPr>
        <w:rPr>
          <w:rFonts w:ascii="Arial" w:eastAsia="Calibri" w:hAnsi="Arial" w:cs="Arial"/>
          <w:szCs w:val="22"/>
          <w:lang w:val="en-US"/>
        </w:rPr>
      </w:pPr>
      <w:r w:rsidRPr="00AC247E">
        <w:rPr>
          <w:rFonts w:ascii="Arial" w:hAnsi="Arial" w:cs="Arial"/>
          <w:szCs w:val="22"/>
        </w:rPr>
        <w:t>A cross party group of LGA politicians met with Rishi S</w:t>
      </w:r>
      <w:r w:rsidR="00AC247E" w:rsidRPr="00AC247E">
        <w:rPr>
          <w:rFonts w:ascii="Arial" w:hAnsi="Arial" w:cs="Arial"/>
          <w:szCs w:val="22"/>
        </w:rPr>
        <w:t xml:space="preserve">unak MP, Parliamentary Under Secretary of State and Minister for Local Government, on 9 January 2019.  Members raised </w:t>
      </w:r>
      <w:r w:rsidR="000117F4">
        <w:rPr>
          <w:rFonts w:ascii="Arial" w:hAnsi="Arial" w:cs="Arial"/>
          <w:szCs w:val="22"/>
        </w:rPr>
        <w:t xml:space="preserve">a number of the in the key issues included in our response to the settlement.  </w:t>
      </w:r>
      <w:r w:rsidR="009F53BB">
        <w:rPr>
          <w:rFonts w:ascii="Arial" w:hAnsi="Arial" w:cs="Arial"/>
          <w:szCs w:val="22"/>
        </w:rPr>
        <w:t>T</w:t>
      </w:r>
      <w:r w:rsidR="000117F4">
        <w:rPr>
          <w:rFonts w:ascii="Arial" w:hAnsi="Arial" w:cs="Arial"/>
          <w:szCs w:val="22"/>
        </w:rPr>
        <w:t>his included welcoming the additional resources</w:t>
      </w:r>
      <w:r w:rsidR="009F53BB">
        <w:rPr>
          <w:rFonts w:ascii="Arial" w:hAnsi="Arial" w:cs="Arial"/>
          <w:szCs w:val="22"/>
        </w:rPr>
        <w:t xml:space="preserve"> announced in the Autumn Budget and settlement </w:t>
      </w:r>
      <w:r w:rsidR="000117F4">
        <w:rPr>
          <w:rFonts w:ascii="Arial" w:hAnsi="Arial" w:cs="Arial"/>
          <w:szCs w:val="22"/>
        </w:rPr>
        <w:t xml:space="preserve">but pointing to the funding gap facing local government in 2019/20 </w:t>
      </w:r>
      <w:r w:rsidR="009F53BB">
        <w:rPr>
          <w:rFonts w:ascii="Arial" w:hAnsi="Arial" w:cs="Arial"/>
          <w:szCs w:val="22"/>
        </w:rPr>
        <w:t>of over £3</w:t>
      </w:r>
      <w:r w:rsidR="000117F4">
        <w:rPr>
          <w:rFonts w:ascii="Arial" w:hAnsi="Arial" w:cs="Arial"/>
          <w:szCs w:val="22"/>
        </w:rPr>
        <w:t xml:space="preserve"> </w:t>
      </w:r>
      <w:bookmarkStart w:id="3" w:name="_GoBack"/>
      <w:bookmarkEnd w:id="3"/>
      <w:r w:rsidR="000117F4">
        <w:rPr>
          <w:rFonts w:ascii="Arial" w:hAnsi="Arial" w:cs="Arial"/>
          <w:szCs w:val="22"/>
        </w:rPr>
        <w:t>billion. Members also offered to work closely with the MHCLG in the run up to the 2019 Spending Review.</w:t>
      </w:r>
    </w:p>
    <w:p w14:paraId="7702A198" w14:textId="77777777" w:rsidR="00AC247E" w:rsidRDefault="00AC247E" w:rsidP="008A6F8A">
      <w:pPr>
        <w:pStyle w:val="ListParagraph"/>
        <w:ind w:left="360"/>
        <w:rPr>
          <w:rFonts w:ascii="Arial" w:eastAsia="Calibri" w:hAnsi="Arial" w:cs="Arial"/>
          <w:szCs w:val="22"/>
          <w:lang w:val="en-US"/>
        </w:rPr>
      </w:pPr>
    </w:p>
    <w:p w14:paraId="5A90997F" w14:textId="7BC4A753" w:rsidR="00266A9A" w:rsidRPr="00AC247E" w:rsidRDefault="00266A9A" w:rsidP="008A6F8A">
      <w:pPr>
        <w:pStyle w:val="ListParagraph"/>
        <w:numPr>
          <w:ilvl w:val="0"/>
          <w:numId w:val="1"/>
        </w:numPr>
        <w:rPr>
          <w:rFonts w:ascii="Arial" w:eastAsia="Calibri" w:hAnsi="Arial" w:cs="Arial"/>
          <w:szCs w:val="22"/>
          <w:lang w:val="en-US"/>
        </w:rPr>
      </w:pPr>
      <w:r>
        <w:rPr>
          <w:rFonts w:ascii="Arial" w:hAnsi="Arial" w:cs="Arial"/>
          <w:szCs w:val="22"/>
        </w:rPr>
        <w:t xml:space="preserve">The LGA will continue to lobby the Government in advance of the 2019/20 Final Local Government Finance Settlement and will brief MPs </w:t>
      </w:r>
      <w:r w:rsidR="006F1638">
        <w:rPr>
          <w:rFonts w:ascii="Arial" w:hAnsi="Arial" w:cs="Arial"/>
          <w:szCs w:val="22"/>
        </w:rPr>
        <w:t>for the debate i</w:t>
      </w:r>
      <w:r>
        <w:rPr>
          <w:rFonts w:ascii="Arial" w:hAnsi="Arial" w:cs="Arial"/>
          <w:szCs w:val="22"/>
        </w:rPr>
        <w:t>n the House of Commons on the final settlement.</w:t>
      </w:r>
    </w:p>
    <w:p w14:paraId="27B012E7" w14:textId="77777777" w:rsidR="00AC247E" w:rsidRDefault="00AC247E" w:rsidP="008A6F8A">
      <w:pPr>
        <w:pStyle w:val="ListParagraph"/>
        <w:ind w:left="360"/>
        <w:rPr>
          <w:rFonts w:ascii="Arial" w:eastAsia="Calibri" w:hAnsi="Arial" w:cs="Arial"/>
          <w:szCs w:val="22"/>
          <w:lang w:val="en-US"/>
        </w:rPr>
      </w:pPr>
    </w:p>
    <w:p w14:paraId="3E83229D" w14:textId="5DADFB7F" w:rsidR="00992E96" w:rsidRPr="00411FE8" w:rsidRDefault="00992E96" w:rsidP="008A6F8A">
      <w:pPr>
        <w:keepNext/>
        <w:keepLines/>
        <w:rPr>
          <w:rFonts w:ascii="Arial" w:hAnsi="Arial" w:cs="Arial"/>
          <w:b/>
          <w:szCs w:val="22"/>
        </w:rPr>
      </w:pPr>
      <w:r w:rsidRPr="00411FE8">
        <w:rPr>
          <w:rFonts w:ascii="Arial" w:hAnsi="Arial" w:cs="Arial"/>
          <w:b/>
          <w:szCs w:val="22"/>
        </w:rPr>
        <w:lastRenderedPageBreak/>
        <w:t>I</w:t>
      </w:r>
      <w:r w:rsidR="00266A9A">
        <w:rPr>
          <w:rFonts w:ascii="Arial" w:hAnsi="Arial" w:cs="Arial"/>
          <w:b/>
          <w:szCs w:val="22"/>
        </w:rPr>
        <w:t>mplications for Wales</w:t>
      </w:r>
      <w:r w:rsidR="00612E8B" w:rsidRPr="00266A9A">
        <w:rPr>
          <w:b/>
          <w:vertAlign w:val="superscript"/>
        </w:rPr>
        <w:footnoteReference w:id="2"/>
      </w:r>
    </w:p>
    <w:p w14:paraId="66201467" w14:textId="77777777" w:rsidR="0067464F" w:rsidRPr="0067464F" w:rsidRDefault="0067464F" w:rsidP="008A6F8A">
      <w:pPr>
        <w:keepNext/>
        <w:keepLines/>
        <w:rPr>
          <w:rFonts w:ascii="Arial" w:hAnsi="Arial" w:cs="Arial"/>
          <w:szCs w:val="22"/>
        </w:rPr>
      </w:pPr>
    </w:p>
    <w:p w14:paraId="3E8322A0" w14:textId="2C018546" w:rsidR="00992E96" w:rsidRPr="0052564C" w:rsidRDefault="00071400" w:rsidP="008A6F8A">
      <w:pPr>
        <w:pStyle w:val="ListParagraph"/>
        <w:keepNext/>
        <w:numPr>
          <w:ilvl w:val="0"/>
          <w:numId w:val="1"/>
        </w:numPr>
        <w:rPr>
          <w:rFonts w:ascii="Arial" w:hAnsi="Arial" w:cs="Arial"/>
          <w:szCs w:val="22"/>
        </w:rPr>
      </w:pPr>
      <w:r w:rsidRPr="0052564C">
        <w:rPr>
          <w:rFonts w:ascii="Arial" w:hAnsi="Arial" w:cs="Arial"/>
          <w:szCs w:val="22"/>
        </w:rPr>
        <w:t xml:space="preserve">The </w:t>
      </w:r>
      <w:r w:rsidR="00266A9A">
        <w:rPr>
          <w:rFonts w:ascii="Arial" w:hAnsi="Arial" w:cs="Arial"/>
          <w:szCs w:val="22"/>
        </w:rPr>
        <w:t>2019/20 P</w:t>
      </w:r>
      <w:r w:rsidRPr="0052564C">
        <w:rPr>
          <w:rFonts w:ascii="Arial" w:hAnsi="Arial" w:cs="Arial"/>
          <w:szCs w:val="22"/>
        </w:rPr>
        <w:t xml:space="preserve">rovisional </w:t>
      </w:r>
      <w:r w:rsidR="00266A9A">
        <w:rPr>
          <w:rFonts w:ascii="Arial" w:hAnsi="Arial" w:cs="Arial"/>
          <w:szCs w:val="22"/>
        </w:rPr>
        <w:t>Local government Finance S</w:t>
      </w:r>
      <w:r w:rsidRPr="0052564C">
        <w:rPr>
          <w:rFonts w:ascii="Arial" w:hAnsi="Arial" w:cs="Arial"/>
          <w:szCs w:val="22"/>
        </w:rPr>
        <w:t>ettlement is applicable to English local authorities only. The Welsh Government has separate arrangements with Welsh local authorities</w:t>
      </w:r>
      <w:r w:rsidR="0032746B" w:rsidRPr="0052564C">
        <w:rPr>
          <w:rFonts w:ascii="Arial" w:hAnsi="Arial" w:cs="Arial"/>
          <w:szCs w:val="22"/>
        </w:rPr>
        <w:t>.</w:t>
      </w:r>
    </w:p>
    <w:p w14:paraId="60E358A6" w14:textId="77777777" w:rsidR="00765850" w:rsidRPr="0067464F" w:rsidRDefault="00765850" w:rsidP="008A6F8A">
      <w:pPr>
        <w:rPr>
          <w:rFonts w:ascii="Arial" w:hAnsi="Arial" w:cs="Arial"/>
          <w:szCs w:val="22"/>
        </w:rPr>
      </w:pPr>
    </w:p>
    <w:p w14:paraId="3E8322A5" w14:textId="1EBBF36A" w:rsidR="00992E96" w:rsidRPr="0067464F" w:rsidRDefault="00765850" w:rsidP="008A6F8A">
      <w:pPr>
        <w:pStyle w:val="Heading2"/>
        <w:rPr>
          <w:rFonts w:ascii="Arial" w:hAnsi="Arial" w:cs="Arial"/>
          <w:b/>
          <w:color w:val="auto"/>
          <w:sz w:val="22"/>
          <w:szCs w:val="22"/>
        </w:rPr>
      </w:pPr>
      <w:r w:rsidRPr="0067464F">
        <w:rPr>
          <w:rFonts w:ascii="Arial" w:hAnsi="Arial" w:cs="Arial"/>
          <w:b/>
          <w:color w:val="auto"/>
          <w:sz w:val="22"/>
          <w:szCs w:val="22"/>
        </w:rPr>
        <w:t>Financial implications</w:t>
      </w:r>
    </w:p>
    <w:p w14:paraId="5716B066" w14:textId="77777777" w:rsidR="0067464F" w:rsidRPr="0067464F" w:rsidRDefault="0067464F" w:rsidP="008A6F8A">
      <w:pPr>
        <w:rPr>
          <w:rFonts w:ascii="Arial" w:hAnsi="Arial" w:cs="Arial"/>
          <w:szCs w:val="22"/>
        </w:rPr>
      </w:pPr>
    </w:p>
    <w:p w14:paraId="3E8322AE" w14:textId="4FC3F59F" w:rsidR="00B23DA6" w:rsidRPr="0052564C" w:rsidRDefault="00765850" w:rsidP="008A6F8A">
      <w:pPr>
        <w:pStyle w:val="ListParagraph"/>
        <w:numPr>
          <w:ilvl w:val="0"/>
          <w:numId w:val="1"/>
        </w:numPr>
        <w:ind w:left="357" w:hanging="357"/>
        <w:rPr>
          <w:rFonts w:ascii="Arial" w:hAnsi="Arial" w:cs="Arial"/>
          <w:szCs w:val="22"/>
        </w:rPr>
      </w:pPr>
      <w:r w:rsidRPr="0052564C">
        <w:rPr>
          <w:rFonts w:ascii="Arial" w:hAnsi="Arial" w:cs="Arial"/>
          <w:szCs w:val="22"/>
        </w:rPr>
        <w:t xml:space="preserve">This is core work for the LGA and is budgeted for within the </w:t>
      </w:r>
      <w:r w:rsidR="00071400" w:rsidRPr="0052564C">
        <w:rPr>
          <w:rFonts w:ascii="Arial" w:hAnsi="Arial" w:cs="Arial"/>
          <w:szCs w:val="22"/>
        </w:rPr>
        <w:t>201</w:t>
      </w:r>
      <w:r w:rsidR="00F10CE9" w:rsidRPr="0052564C">
        <w:rPr>
          <w:rFonts w:ascii="Arial" w:hAnsi="Arial" w:cs="Arial"/>
          <w:szCs w:val="22"/>
        </w:rPr>
        <w:t>8</w:t>
      </w:r>
      <w:r w:rsidR="00071400" w:rsidRPr="0052564C">
        <w:rPr>
          <w:rFonts w:ascii="Arial" w:hAnsi="Arial" w:cs="Arial"/>
          <w:szCs w:val="22"/>
        </w:rPr>
        <w:t>/</w:t>
      </w:r>
      <w:r w:rsidR="00463758" w:rsidRPr="0052564C">
        <w:rPr>
          <w:rFonts w:ascii="Arial" w:hAnsi="Arial" w:cs="Arial"/>
          <w:szCs w:val="22"/>
        </w:rPr>
        <w:t>1</w:t>
      </w:r>
      <w:r w:rsidR="00F10CE9" w:rsidRPr="0052564C">
        <w:rPr>
          <w:rFonts w:ascii="Arial" w:hAnsi="Arial" w:cs="Arial"/>
          <w:szCs w:val="22"/>
        </w:rPr>
        <w:t>9</w:t>
      </w:r>
      <w:r w:rsidRPr="0052564C">
        <w:rPr>
          <w:rFonts w:ascii="Arial" w:hAnsi="Arial" w:cs="Arial"/>
          <w:szCs w:val="22"/>
        </w:rPr>
        <w:t xml:space="preserve"> LGA budget.</w:t>
      </w:r>
    </w:p>
    <w:sectPr w:rsidR="00B23DA6" w:rsidRPr="0052564C"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D8D75" w16cid:durableId="1DF9B210"/>
  <w16cid:commentId w16cid:paraId="46351941" w16cid:durableId="1DF9B2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EC86B" w14:textId="77777777" w:rsidR="00C076DF" w:rsidRDefault="00C076DF">
      <w:r>
        <w:separator/>
      </w:r>
    </w:p>
  </w:endnote>
  <w:endnote w:type="continuationSeparator" w:id="0">
    <w:p w14:paraId="6D7A473D" w14:textId="77777777" w:rsidR="00C076DF" w:rsidRDefault="00C076DF">
      <w:r>
        <w:continuationSeparator/>
      </w:r>
    </w:p>
  </w:endnote>
  <w:endnote w:type="continuationNotice" w:id="1">
    <w:p w14:paraId="3EED5BE2" w14:textId="77777777" w:rsidR="0081418F" w:rsidRDefault="00814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C076DF" w:rsidRDefault="00C076DF">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41B10" w14:textId="77777777" w:rsidR="00C076DF" w:rsidRDefault="00C076DF">
      <w:r>
        <w:separator/>
      </w:r>
    </w:p>
  </w:footnote>
  <w:footnote w:type="continuationSeparator" w:id="0">
    <w:p w14:paraId="3A4188AB" w14:textId="77777777" w:rsidR="00C076DF" w:rsidRDefault="00C076DF">
      <w:r>
        <w:continuationSeparator/>
      </w:r>
    </w:p>
  </w:footnote>
  <w:footnote w:type="continuationNotice" w:id="1">
    <w:p w14:paraId="4FB5C55F" w14:textId="77777777" w:rsidR="0081418F" w:rsidRDefault="0081418F"/>
  </w:footnote>
  <w:footnote w:id="2">
    <w:p w14:paraId="5FDC264F" w14:textId="60C31D7C" w:rsidR="00C076DF" w:rsidRPr="00612E8B" w:rsidRDefault="00C076DF" w:rsidP="00612E8B">
      <w:pPr>
        <w:rPr>
          <w:rFonts w:ascii="Arial" w:hAnsi="Arial" w:cs="Arial"/>
          <w:i/>
          <w:sz w:val="16"/>
          <w:szCs w:val="16"/>
        </w:rPr>
      </w:pPr>
      <w:r w:rsidRPr="00612E8B">
        <w:rPr>
          <w:rStyle w:val="FootnoteReference"/>
          <w:rFonts w:ascii="Arial" w:hAnsi="Arial" w:cs="Arial"/>
          <w:sz w:val="16"/>
          <w:szCs w:val="16"/>
        </w:rPr>
        <w:footnoteRef/>
      </w:r>
      <w:r w:rsidRPr="00612E8B">
        <w:rPr>
          <w:rFonts w:ascii="Arial" w:hAnsi="Arial" w:cs="Arial"/>
          <w:sz w:val="16"/>
          <w:szCs w:val="16"/>
        </w:rPr>
        <w:t xml:space="preserve"> </w:t>
      </w:r>
      <w:r w:rsidRPr="00612E8B">
        <w:rPr>
          <w:rFonts w:ascii="Arial" w:hAnsi="Arial" w:cs="Arial"/>
          <w:i/>
          <w:sz w:val="16"/>
          <w:szCs w:val="16"/>
        </w:rPr>
        <w:t>The WLGA pays a membership fee to the LGA on behalf of all Welsh councils and we lobby for them on “non-devolved” issues - e.g. DWP work.</w:t>
      </w:r>
      <w:r>
        <w:rPr>
          <w:rFonts w:ascii="Arial" w:hAnsi="Arial" w:cs="Arial"/>
          <w:i/>
          <w:sz w:val="16"/>
          <w:szCs w:val="16"/>
        </w:rPr>
        <w:t xml:space="preserve">  </w:t>
      </w:r>
      <w:r w:rsidRPr="00612E8B">
        <w:rPr>
          <w:rFonts w:ascii="Arial" w:hAnsi="Arial" w:cs="Arial"/>
          <w:i/>
          <w:sz w:val="16"/>
          <w:szCs w:val="16"/>
        </w:rPr>
        <w:t xml:space="preserve">The WLGA provides “top-slice” for workforce support, but none for “improvement”.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77777777" w:rsidR="00C076DF" w:rsidRDefault="00C076DF">
    <w:pPr>
      <w:pStyle w:val="Header"/>
      <w:rPr>
        <w:rFonts w:ascii="Arial" w:hAnsi="Arial" w:cs="Arial"/>
      </w:rPr>
    </w:pPr>
  </w:p>
  <w:tbl>
    <w:tblPr>
      <w:tblW w:w="0" w:type="auto"/>
      <w:tblLook w:val="01E0" w:firstRow="1" w:lastRow="1" w:firstColumn="1" w:lastColumn="1" w:noHBand="0" w:noVBand="0"/>
    </w:tblPr>
    <w:tblGrid>
      <w:gridCol w:w="5851"/>
      <w:gridCol w:w="3220"/>
    </w:tblGrid>
    <w:tr w:rsidR="00DD6630" w:rsidRPr="004F266E" w14:paraId="7DD61384" w14:textId="77777777" w:rsidTr="009F7823">
      <w:tc>
        <w:tcPr>
          <w:tcW w:w="5920" w:type="dxa"/>
          <w:vMerge w:val="restart"/>
          <w:shd w:val="clear" w:color="auto" w:fill="auto"/>
        </w:tcPr>
        <w:p w14:paraId="66EF6C85" w14:textId="77777777" w:rsidR="00DD6630" w:rsidRPr="00374227" w:rsidRDefault="00DD6630" w:rsidP="00DD6630">
          <w:pPr>
            <w:pStyle w:val="Header"/>
            <w:tabs>
              <w:tab w:val="clear" w:pos="4153"/>
              <w:tab w:val="clear" w:pos="8306"/>
              <w:tab w:val="center" w:pos="2923"/>
            </w:tabs>
          </w:pPr>
          <w:r>
            <w:rPr>
              <w:rFonts w:ascii="Arial" w:hAnsi="Arial" w:cs="Arial"/>
              <w:noProof/>
              <w:sz w:val="44"/>
              <w:szCs w:val="44"/>
            </w:rPr>
            <w:drawing>
              <wp:inline distT="0" distB="0" distL="0" distR="0" wp14:anchorId="7B16734F" wp14:editId="2752A5D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0A230DD3" w14:textId="77777777" w:rsidR="00DD6630" w:rsidRPr="00E7702B" w:rsidRDefault="00DD6630" w:rsidP="00DD6630">
          <w:pPr>
            <w:pStyle w:val="Header"/>
            <w:rPr>
              <w:rFonts w:ascii="Arial" w:hAnsi="Arial" w:cs="Arial"/>
              <w:b/>
              <w:i/>
              <w:szCs w:val="22"/>
            </w:rPr>
          </w:pPr>
          <w:r>
            <w:rPr>
              <w:rFonts w:ascii="Arial" w:hAnsi="Arial" w:cs="Arial"/>
              <w:b/>
              <w:szCs w:val="22"/>
            </w:rPr>
            <w:t>LGA Executive</w:t>
          </w:r>
          <w:r w:rsidRPr="00E7702B">
            <w:rPr>
              <w:rFonts w:ascii="Arial" w:hAnsi="Arial" w:cs="Arial"/>
              <w:i/>
            </w:rPr>
            <w:t xml:space="preserve"> </w:t>
          </w:r>
        </w:p>
      </w:tc>
    </w:tr>
    <w:tr w:rsidR="00DD6630" w14:paraId="2DA911B3" w14:textId="77777777" w:rsidTr="009F7823">
      <w:trPr>
        <w:trHeight w:val="450"/>
      </w:trPr>
      <w:tc>
        <w:tcPr>
          <w:tcW w:w="5920" w:type="dxa"/>
          <w:vMerge/>
          <w:shd w:val="clear" w:color="auto" w:fill="auto"/>
        </w:tcPr>
        <w:p w14:paraId="18B7B42E" w14:textId="77777777" w:rsidR="00DD6630" w:rsidRPr="00374227" w:rsidRDefault="00DD6630" w:rsidP="00DD6630">
          <w:pPr>
            <w:pStyle w:val="Header"/>
          </w:pPr>
        </w:p>
      </w:tc>
      <w:tc>
        <w:tcPr>
          <w:tcW w:w="3260" w:type="dxa"/>
          <w:shd w:val="clear" w:color="auto" w:fill="auto"/>
          <w:vAlign w:val="center"/>
        </w:tcPr>
        <w:p w14:paraId="5A87FAB0" w14:textId="77777777" w:rsidR="00DD6630" w:rsidRPr="00374227" w:rsidRDefault="00DD6630" w:rsidP="00DD6630">
          <w:pPr>
            <w:pStyle w:val="Header"/>
            <w:spacing w:before="60"/>
            <w:rPr>
              <w:rFonts w:ascii="Arial" w:hAnsi="Arial" w:cs="Arial"/>
              <w:szCs w:val="22"/>
            </w:rPr>
          </w:pPr>
          <w:r>
            <w:rPr>
              <w:rFonts w:ascii="Arial" w:hAnsi="Arial" w:cs="Arial"/>
              <w:szCs w:val="22"/>
            </w:rPr>
            <w:t xml:space="preserve">24 January 2019 </w:t>
          </w:r>
        </w:p>
      </w:tc>
    </w:tr>
    <w:tr w:rsidR="00DD6630" w:rsidRPr="004F266E" w14:paraId="593FAE81" w14:textId="77777777" w:rsidTr="009F7823">
      <w:trPr>
        <w:trHeight w:val="708"/>
      </w:trPr>
      <w:tc>
        <w:tcPr>
          <w:tcW w:w="5920" w:type="dxa"/>
          <w:vMerge/>
          <w:shd w:val="clear" w:color="auto" w:fill="auto"/>
        </w:tcPr>
        <w:p w14:paraId="4A18B8BF" w14:textId="77777777" w:rsidR="00DD6630" w:rsidRPr="00374227" w:rsidRDefault="00DD6630" w:rsidP="00DD6630">
          <w:pPr>
            <w:pStyle w:val="Header"/>
          </w:pPr>
        </w:p>
      </w:tc>
      <w:tc>
        <w:tcPr>
          <w:tcW w:w="3260" w:type="dxa"/>
          <w:shd w:val="clear" w:color="auto" w:fill="auto"/>
          <w:vAlign w:val="center"/>
        </w:tcPr>
        <w:p w14:paraId="3174647C" w14:textId="77777777" w:rsidR="00DD6630" w:rsidRPr="00374227" w:rsidRDefault="00DD6630" w:rsidP="00DD6630">
          <w:pPr>
            <w:pStyle w:val="Header"/>
            <w:spacing w:before="60"/>
            <w:rPr>
              <w:rFonts w:ascii="Arial" w:hAnsi="Arial" w:cs="Arial"/>
              <w:b/>
              <w:szCs w:val="22"/>
            </w:rPr>
          </w:pPr>
        </w:p>
      </w:tc>
    </w:tr>
  </w:tbl>
  <w:p w14:paraId="3E6294B3" w14:textId="77777777" w:rsidR="00DD6630" w:rsidRPr="0021114E" w:rsidRDefault="00DD6630">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C076DF" w:rsidRDefault="00C076DF" w:rsidP="00765850">
    <w:pPr>
      <w:pStyle w:val="Header"/>
      <w:rPr>
        <w:sz w:val="2"/>
      </w:rPr>
    </w:pPr>
  </w:p>
  <w:p w14:paraId="3E8322C2" w14:textId="77777777" w:rsidR="00C076DF" w:rsidRDefault="00C076DF"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C076DF" w:rsidRPr="001D2C76" w14:paraId="3E8322C5" w14:textId="77777777" w:rsidTr="00765850">
      <w:tc>
        <w:tcPr>
          <w:tcW w:w="6062" w:type="dxa"/>
          <w:vMerge w:val="restart"/>
        </w:tcPr>
        <w:p w14:paraId="3E8322C3" w14:textId="77777777" w:rsidR="00C076DF" w:rsidRDefault="00C076DF"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C076DF" w:rsidRPr="001D2C76" w:rsidRDefault="00C076DF" w:rsidP="00765850">
          <w:pPr>
            <w:pStyle w:val="Header"/>
            <w:rPr>
              <w:b/>
            </w:rPr>
          </w:pPr>
          <w:r>
            <w:rPr>
              <w:rFonts w:ascii="Arial" w:hAnsi="Arial" w:cs="Arial"/>
              <w:b/>
              <w:sz w:val="24"/>
              <w:szCs w:val="24"/>
            </w:rPr>
            <w:t>Meeting title</w:t>
          </w:r>
        </w:p>
      </w:tc>
    </w:tr>
    <w:tr w:rsidR="00C076DF" w14:paraId="3E8322C8" w14:textId="77777777" w:rsidTr="00765850">
      <w:trPr>
        <w:trHeight w:val="450"/>
      </w:trPr>
      <w:tc>
        <w:tcPr>
          <w:tcW w:w="6062" w:type="dxa"/>
          <w:vMerge/>
        </w:tcPr>
        <w:p w14:paraId="3E8322C6" w14:textId="77777777" w:rsidR="00C076DF" w:rsidRDefault="00C076DF" w:rsidP="00765850">
          <w:pPr>
            <w:pStyle w:val="Header"/>
          </w:pPr>
        </w:p>
      </w:tc>
      <w:tc>
        <w:tcPr>
          <w:tcW w:w="3225" w:type="dxa"/>
        </w:tcPr>
        <w:p w14:paraId="3E8322C7" w14:textId="77777777" w:rsidR="00C076DF" w:rsidRDefault="00C076DF" w:rsidP="00765850">
          <w:pPr>
            <w:pStyle w:val="Header"/>
            <w:spacing w:before="60"/>
          </w:pPr>
          <w:r>
            <w:rPr>
              <w:rFonts w:ascii="Arial" w:hAnsi="Arial" w:cs="Arial"/>
              <w:sz w:val="24"/>
              <w:szCs w:val="24"/>
            </w:rPr>
            <w:t xml:space="preserve">Meeting date </w:t>
          </w:r>
        </w:p>
      </w:tc>
    </w:tr>
    <w:tr w:rsidR="00C076DF" w14:paraId="3E8322CC" w14:textId="77777777" w:rsidTr="00765850">
      <w:trPr>
        <w:trHeight w:val="450"/>
      </w:trPr>
      <w:tc>
        <w:tcPr>
          <w:tcW w:w="6062" w:type="dxa"/>
          <w:vMerge/>
        </w:tcPr>
        <w:p w14:paraId="3E8322C9" w14:textId="77777777" w:rsidR="00C076DF" w:rsidRDefault="00C076DF" w:rsidP="00765850">
          <w:pPr>
            <w:pStyle w:val="Header"/>
          </w:pPr>
        </w:p>
      </w:tc>
      <w:tc>
        <w:tcPr>
          <w:tcW w:w="3225" w:type="dxa"/>
        </w:tcPr>
        <w:p w14:paraId="3E8322CA" w14:textId="77777777" w:rsidR="00C076DF" w:rsidRDefault="00C076DF" w:rsidP="00765850">
          <w:pPr>
            <w:pStyle w:val="Header"/>
            <w:spacing w:before="60"/>
            <w:rPr>
              <w:rFonts w:ascii="Arial" w:hAnsi="Arial" w:cs="Arial"/>
              <w:b/>
              <w:sz w:val="24"/>
              <w:szCs w:val="24"/>
            </w:rPr>
          </w:pPr>
        </w:p>
        <w:p w14:paraId="3E8322CB" w14:textId="77777777" w:rsidR="00C076DF" w:rsidRPr="00546D0D" w:rsidRDefault="00C076DF" w:rsidP="00765850">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C076DF" w:rsidRDefault="00C076DF"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77942"/>
    <w:multiLevelType w:val="hybridMultilevel"/>
    <w:tmpl w:val="64323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31211D"/>
    <w:multiLevelType w:val="hybridMultilevel"/>
    <w:tmpl w:val="2490F8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30742"/>
    <w:multiLevelType w:val="hybridMultilevel"/>
    <w:tmpl w:val="A1665F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38"/>
        </w:tabs>
        <w:ind w:left="938" w:hanging="360"/>
      </w:pPr>
      <w:rPr>
        <w:rFonts w:ascii="Courier New" w:hAnsi="Courier New" w:cs="Courier New" w:hint="default"/>
      </w:rPr>
    </w:lvl>
    <w:lvl w:ilvl="2" w:tplc="08090005">
      <w:start w:val="1"/>
      <w:numFmt w:val="bullet"/>
      <w:lvlText w:val=""/>
      <w:lvlJc w:val="left"/>
      <w:pPr>
        <w:tabs>
          <w:tab w:val="num" w:pos="1658"/>
        </w:tabs>
        <w:ind w:left="1658" w:hanging="360"/>
      </w:pPr>
      <w:rPr>
        <w:rFonts w:ascii="Wingdings" w:hAnsi="Wingdings" w:hint="default"/>
      </w:rPr>
    </w:lvl>
    <w:lvl w:ilvl="3" w:tplc="08090001" w:tentative="1">
      <w:start w:val="1"/>
      <w:numFmt w:val="bullet"/>
      <w:lvlText w:val=""/>
      <w:lvlJc w:val="left"/>
      <w:pPr>
        <w:tabs>
          <w:tab w:val="num" w:pos="2378"/>
        </w:tabs>
        <w:ind w:left="2378" w:hanging="360"/>
      </w:pPr>
      <w:rPr>
        <w:rFonts w:ascii="Symbol" w:hAnsi="Symbol" w:hint="default"/>
      </w:rPr>
    </w:lvl>
    <w:lvl w:ilvl="4" w:tplc="08090003" w:tentative="1">
      <w:start w:val="1"/>
      <w:numFmt w:val="bullet"/>
      <w:lvlText w:val="o"/>
      <w:lvlJc w:val="left"/>
      <w:pPr>
        <w:tabs>
          <w:tab w:val="num" w:pos="3098"/>
        </w:tabs>
        <w:ind w:left="3098" w:hanging="360"/>
      </w:pPr>
      <w:rPr>
        <w:rFonts w:ascii="Courier New" w:hAnsi="Courier New" w:cs="Courier New" w:hint="default"/>
      </w:rPr>
    </w:lvl>
    <w:lvl w:ilvl="5" w:tplc="08090005" w:tentative="1">
      <w:start w:val="1"/>
      <w:numFmt w:val="bullet"/>
      <w:lvlText w:val=""/>
      <w:lvlJc w:val="left"/>
      <w:pPr>
        <w:tabs>
          <w:tab w:val="num" w:pos="3818"/>
        </w:tabs>
        <w:ind w:left="3818" w:hanging="360"/>
      </w:pPr>
      <w:rPr>
        <w:rFonts w:ascii="Wingdings" w:hAnsi="Wingdings" w:hint="default"/>
      </w:rPr>
    </w:lvl>
    <w:lvl w:ilvl="6" w:tplc="08090001" w:tentative="1">
      <w:start w:val="1"/>
      <w:numFmt w:val="bullet"/>
      <w:lvlText w:val=""/>
      <w:lvlJc w:val="left"/>
      <w:pPr>
        <w:tabs>
          <w:tab w:val="num" w:pos="4538"/>
        </w:tabs>
        <w:ind w:left="4538" w:hanging="360"/>
      </w:pPr>
      <w:rPr>
        <w:rFonts w:ascii="Symbol" w:hAnsi="Symbol" w:hint="default"/>
      </w:rPr>
    </w:lvl>
    <w:lvl w:ilvl="7" w:tplc="08090003" w:tentative="1">
      <w:start w:val="1"/>
      <w:numFmt w:val="bullet"/>
      <w:lvlText w:val="o"/>
      <w:lvlJc w:val="left"/>
      <w:pPr>
        <w:tabs>
          <w:tab w:val="num" w:pos="5258"/>
        </w:tabs>
        <w:ind w:left="5258" w:hanging="360"/>
      </w:pPr>
      <w:rPr>
        <w:rFonts w:ascii="Courier New" w:hAnsi="Courier New" w:cs="Courier New" w:hint="default"/>
      </w:rPr>
    </w:lvl>
    <w:lvl w:ilvl="8" w:tplc="08090005" w:tentative="1">
      <w:start w:val="1"/>
      <w:numFmt w:val="bullet"/>
      <w:lvlText w:val=""/>
      <w:lvlJc w:val="left"/>
      <w:pPr>
        <w:tabs>
          <w:tab w:val="num" w:pos="5978"/>
        </w:tabs>
        <w:ind w:left="5978" w:hanging="360"/>
      </w:pPr>
      <w:rPr>
        <w:rFonts w:ascii="Wingdings" w:hAnsi="Wingdings" w:hint="default"/>
      </w:rPr>
    </w:lvl>
  </w:abstractNum>
  <w:abstractNum w:abstractNumId="5"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33D3E"/>
    <w:multiLevelType w:val="hybridMultilevel"/>
    <w:tmpl w:val="4768DBC8"/>
    <w:lvl w:ilvl="0" w:tplc="0CB83AB8">
      <w:start w:val="1"/>
      <w:numFmt w:val="bullet"/>
      <w:lvlText w:val="–"/>
      <w:lvlJc w:val="left"/>
      <w:pPr>
        <w:tabs>
          <w:tab w:val="num" w:pos="720"/>
        </w:tabs>
        <w:ind w:left="720" w:hanging="360"/>
      </w:pPr>
      <w:rPr>
        <w:rFonts w:ascii="Times New Roman" w:hAnsi="Times New Roman" w:hint="default"/>
      </w:rPr>
    </w:lvl>
    <w:lvl w:ilvl="1" w:tplc="30662FB8">
      <w:start w:val="1"/>
      <w:numFmt w:val="bullet"/>
      <w:lvlText w:val="–"/>
      <w:lvlJc w:val="left"/>
      <w:pPr>
        <w:tabs>
          <w:tab w:val="num" w:pos="1440"/>
        </w:tabs>
        <w:ind w:left="1440" w:hanging="360"/>
      </w:pPr>
      <w:rPr>
        <w:rFonts w:ascii="Times New Roman" w:hAnsi="Times New Roman" w:hint="default"/>
      </w:rPr>
    </w:lvl>
    <w:lvl w:ilvl="2" w:tplc="F6B0718A" w:tentative="1">
      <w:start w:val="1"/>
      <w:numFmt w:val="bullet"/>
      <w:lvlText w:val="–"/>
      <w:lvlJc w:val="left"/>
      <w:pPr>
        <w:tabs>
          <w:tab w:val="num" w:pos="2160"/>
        </w:tabs>
        <w:ind w:left="2160" w:hanging="360"/>
      </w:pPr>
      <w:rPr>
        <w:rFonts w:ascii="Times New Roman" w:hAnsi="Times New Roman" w:hint="default"/>
      </w:rPr>
    </w:lvl>
    <w:lvl w:ilvl="3" w:tplc="1DF0C710" w:tentative="1">
      <w:start w:val="1"/>
      <w:numFmt w:val="bullet"/>
      <w:lvlText w:val="–"/>
      <w:lvlJc w:val="left"/>
      <w:pPr>
        <w:tabs>
          <w:tab w:val="num" w:pos="2880"/>
        </w:tabs>
        <w:ind w:left="2880" w:hanging="360"/>
      </w:pPr>
      <w:rPr>
        <w:rFonts w:ascii="Times New Roman" w:hAnsi="Times New Roman" w:hint="default"/>
      </w:rPr>
    </w:lvl>
    <w:lvl w:ilvl="4" w:tplc="60E83CB2" w:tentative="1">
      <w:start w:val="1"/>
      <w:numFmt w:val="bullet"/>
      <w:lvlText w:val="–"/>
      <w:lvlJc w:val="left"/>
      <w:pPr>
        <w:tabs>
          <w:tab w:val="num" w:pos="3600"/>
        </w:tabs>
        <w:ind w:left="3600" w:hanging="360"/>
      </w:pPr>
      <w:rPr>
        <w:rFonts w:ascii="Times New Roman" w:hAnsi="Times New Roman" w:hint="default"/>
      </w:rPr>
    </w:lvl>
    <w:lvl w:ilvl="5" w:tplc="0D76BF26" w:tentative="1">
      <w:start w:val="1"/>
      <w:numFmt w:val="bullet"/>
      <w:lvlText w:val="–"/>
      <w:lvlJc w:val="left"/>
      <w:pPr>
        <w:tabs>
          <w:tab w:val="num" w:pos="4320"/>
        </w:tabs>
        <w:ind w:left="4320" w:hanging="360"/>
      </w:pPr>
      <w:rPr>
        <w:rFonts w:ascii="Times New Roman" w:hAnsi="Times New Roman" w:hint="default"/>
      </w:rPr>
    </w:lvl>
    <w:lvl w:ilvl="6" w:tplc="9D8A3FD8" w:tentative="1">
      <w:start w:val="1"/>
      <w:numFmt w:val="bullet"/>
      <w:lvlText w:val="–"/>
      <w:lvlJc w:val="left"/>
      <w:pPr>
        <w:tabs>
          <w:tab w:val="num" w:pos="5040"/>
        </w:tabs>
        <w:ind w:left="5040" w:hanging="360"/>
      </w:pPr>
      <w:rPr>
        <w:rFonts w:ascii="Times New Roman" w:hAnsi="Times New Roman" w:hint="default"/>
      </w:rPr>
    </w:lvl>
    <w:lvl w:ilvl="7" w:tplc="A99670BE" w:tentative="1">
      <w:start w:val="1"/>
      <w:numFmt w:val="bullet"/>
      <w:lvlText w:val="–"/>
      <w:lvlJc w:val="left"/>
      <w:pPr>
        <w:tabs>
          <w:tab w:val="num" w:pos="5760"/>
        </w:tabs>
        <w:ind w:left="5760" w:hanging="360"/>
      </w:pPr>
      <w:rPr>
        <w:rFonts w:ascii="Times New Roman" w:hAnsi="Times New Roman" w:hint="default"/>
      </w:rPr>
    </w:lvl>
    <w:lvl w:ilvl="8" w:tplc="BE4625B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3"/>
  </w:num>
  <w:num w:numId="6">
    <w:abstractNumId w:val="1"/>
  </w:num>
  <w:num w:numId="7">
    <w:abstractNumId w:val="2"/>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1869"/>
    <w:rsid w:val="000117F4"/>
    <w:rsid w:val="00025492"/>
    <w:rsid w:val="00030D71"/>
    <w:rsid w:val="00067747"/>
    <w:rsid w:val="00071400"/>
    <w:rsid w:val="00084A70"/>
    <w:rsid w:val="00105469"/>
    <w:rsid w:val="00122698"/>
    <w:rsid w:val="00124088"/>
    <w:rsid w:val="00124A4F"/>
    <w:rsid w:val="0013564A"/>
    <w:rsid w:val="001449C7"/>
    <w:rsid w:val="0015372A"/>
    <w:rsid w:val="00181A42"/>
    <w:rsid w:val="001A32D4"/>
    <w:rsid w:val="001A7249"/>
    <w:rsid w:val="001B36CE"/>
    <w:rsid w:val="001E184C"/>
    <w:rsid w:val="001E5451"/>
    <w:rsid w:val="00206AC2"/>
    <w:rsid w:val="00243DF2"/>
    <w:rsid w:val="002634A5"/>
    <w:rsid w:val="00266A9A"/>
    <w:rsid w:val="002955CC"/>
    <w:rsid w:val="002B1498"/>
    <w:rsid w:val="002B2E10"/>
    <w:rsid w:val="002B42C7"/>
    <w:rsid w:val="002C35A9"/>
    <w:rsid w:val="002C7039"/>
    <w:rsid w:val="002E4C93"/>
    <w:rsid w:val="002F0AD4"/>
    <w:rsid w:val="0032746B"/>
    <w:rsid w:val="00386CC9"/>
    <w:rsid w:val="003A1142"/>
    <w:rsid w:val="003B32C9"/>
    <w:rsid w:val="003D50FC"/>
    <w:rsid w:val="00411FE8"/>
    <w:rsid w:val="0041771D"/>
    <w:rsid w:val="00433454"/>
    <w:rsid w:val="0044102A"/>
    <w:rsid w:val="00463758"/>
    <w:rsid w:val="004644FA"/>
    <w:rsid w:val="00482DA0"/>
    <w:rsid w:val="0048513E"/>
    <w:rsid w:val="004A0786"/>
    <w:rsid w:val="004D4A63"/>
    <w:rsid w:val="004E6CD8"/>
    <w:rsid w:val="004E7F3A"/>
    <w:rsid w:val="004F302D"/>
    <w:rsid w:val="00507FC9"/>
    <w:rsid w:val="0052564C"/>
    <w:rsid w:val="0053696A"/>
    <w:rsid w:val="00543494"/>
    <w:rsid w:val="00567752"/>
    <w:rsid w:val="00591AE3"/>
    <w:rsid w:val="005D7E1C"/>
    <w:rsid w:val="00612E8B"/>
    <w:rsid w:val="00614062"/>
    <w:rsid w:val="00624407"/>
    <w:rsid w:val="0067464F"/>
    <w:rsid w:val="006843FB"/>
    <w:rsid w:val="00691985"/>
    <w:rsid w:val="00694C92"/>
    <w:rsid w:val="006972A5"/>
    <w:rsid w:val="006B6CD1"/>
    <w:rsid w:val="006E1273"/>
    <w:rsid w:val="006F1638"/>
    <w:rsid w:val="00701B98"/>
    <w:rsid w:val="00701C8B"/>
    <w:rsid w:val="00727092"/>
    <w:rsid w:val="00756EDC"/>
    <w:rsid w:val="00765850"/>
    <w:rsid w:val="0079745A"/>
    <w:rsid w:val="007977F7"/>
    <w:rsid w:val="007E20EE"/>
    <w:rsid w:val="0081418F"/>
    <w:rsid w:val="00820FF5"/>
    <w:rsid w:val="00841D53"/>
    <w:rsid w:val="008532A6"/>
    <w:rsid w:val="00891AE9"/>
    <w:rsid w:val="008A6F8A"/>
    <w:rsid w:val="008C191A"/>
    <w:rsid w:val="008D2DFA"/>
    <w:rsid w:val="009157AC"/>
    <w:rsid w:val="00934048"/>
    <w:rsid w:val="0095751A"/>
    <w:rsid w:val="00984A11"/>
    <w:rsid w:val="00987DFC"/>
    <w:rsid w:val="00992E96"/>
    <w:rsid w:val="009A3A5F"/>
    <w:rsid w:val="009D23EE"/>
    <w:rsid w:val="009F30C1"/>
    <w:rsid w:val="009F53BB"/>
    <w:rsid w:val="00A055A8"/>
    <w:rsid w:val="00A17A1F"/>
    <w:rsid w:val="00A5728F"/>
    <w:rsid w:val="00A73DF6"/>
    <w:rsid w:val="00A91221"/>
    <w:rsid w:val="00A9257E"/>
    <w:rsid w:val="00AA380A"/>
    <w:rsid w:val="00AB2ED4"/>
    <w:rsid w:val="00AC247E"/>
    <w:rsid w:val="00AC37B4"/>
    <w:rsid w:val="00B14E17"/>
    <w:rsid w:val="00B23DA6"/>
    <w:rsid w:val="00B27F61"/>
    <w:rsid w:val="00B50001"/>
    <w:rsid w:val="00B5158A"/>
    <w:rsid w:val="00B63540"/>
    <w:rsid w:val="00B81738"/>
    <w:rsid w:val="00BA0B9C"/>
    <w:rsid w:val="00BB3D01"/>
    <w:rsid w:val="00BC2918"/>
    <w:rsid w:val="00BE2709"/>
    <w:rsid w:val="00C03562"/>
    <w:rsid w:val="00C057F5"/>
    <w:rsid w:val="00C076DF"/>
    <w:rsid w:val="00C405BF"/>
    <w:rsid w:val="00C63676"/>
    <w:rsid w:val="00C65F1D"/>
    <w:rsid w:val="00CE4E4A"/>
    <w:rsid w:val="00CF5B21"/>
    <w:rsid w:val="00D02550"/>
    <w:rsid w:val="00D063B7"/>
    <w:rsid w:val="00D45B4D"/>
    <w:rsid w:val="00D70912"/>
    <w:rsid w:val="00DD4271"/>
    <w:rsid w:val="00DD6630"/>
    <w:rsid w:val="00DF09AF"/>
    <w:rsid w:val="00E1448D"/>
    <w:rsid w:val="00E1577D"/>
    <w:rsid w:val="00E57864"/>
    <w:rsid w:val="00E616B0"/>
    <w:rsid w:val="00E81C38"/>
    <w:rsid w:val="00EA4460"/>
    <w:rsid w:val="00EA5002"/>
    <w:rsid w:val="00EB4622"/>
    <w:rsid w:val="00EB4CFF"/>
    <w:rsid w:val="00ED60BA"/>
    <w:rsid w:val="00ED6BA9"/>
    <w:rsid w:val="00F10CE9"/>
    <w:rsid w:val="00F237F9"/>
    <w:rsid w:val="00F30345"/>
    <w:rsid w:val="00F40732"/>
    <w:rsid w:val="00F53361"/>
    <w:rsid w:val="00F82574"/>
    <w:rsid w:val="00FA4197"/>
    <w:rsid w:val="00FB6CEA"/>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next w:val="Normal"/>
    <w:link w:val="Heading2Char"/>
    <w:uiPriority w:val="9"/>
    <w:unhideWhenUsed/>
    <w:qFormat/>
    <w:rsid w:val="006919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nhideWhenUsed/>
    <w:rsid w:val="00984A11"/>
    <w:rPr>
      <w:sz w:val="16"/>
      <w:szCs w:val="16"/>
    </w:rPr>
  </w:style>
  <w:style w:type="paragraph" w:styleId="CommentText">
    <w:name w:val="annotation text"/>
    <w:basedOn w:val="Normal"/>
    <w:link w:val="CommentTextChar"/>
    <w:unhideWhenUsed/>
    <w:rsid w:val="00984A11"/>
    <w:rPr>
      <w:sz w:val="20"/>
    </w:rPr>
  </w:style>
  <w:style w:type="character" w:customStyle="1" w:styleId="CommentTextChar">
    <w:name w:val="Comment Text Char"/>
    <w:basedOn w:val="DefaultParagraphFont"/>
    <w:link w:val="CommentText"/>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nhideWhenUsed/>
    <w:rsid w:val="00984A11"/>
    <w:rPr>
      <w:b/>
      <w:bCs/>
    </w:rPr>
  </w:style>
  <w:style w:type="character" w:customStyle="1" w:styleId="CommentSubjectChar">
    <w:name w:val="Comment Subject Char"/>
    <w:basedOn w:val="CommentTextChar"/>
    <w:link w:val="CommentSubject"/>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181A42"/>
    <w:rPr>
      <w:color w:val="954F72" w:themeColor="followedHyperlink"/>
      <w:u w:val="single"/>
    </w:rPr>
  </w:style>
  <w:style w:type="paragraph" w:customStyle="1" w:styleId="Default">
    <w:name w:val="Default"/>
    <w:rsid w:val="004E7F3A"/>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rsid w:val="002B1498"/>
    <w:rPr>
      <w:rFonts w:ascii="Frutiger 45 Light" w:eastAsia="Times New Roman" w:hAnsi="Frutiger 45 Light" w:cs="Times New Roman"/>
      <w:szCs w:val="20"/>
      <w:lang w:eastAsia="en-GB"/>
    </w:rPr>
  </w:style>
  <w:style w:type="character" w:customStyle="1" w:styleId="Heading2Char">
    <w:name w:val="Heading 2 Char"/>
    <w:basedOn w:val="DefaultParagraphFont"/>
    <w:link w:val="Heading2"/>
    <w:uiPriority w:val="9"/>
    <w:rsid w:val="00691985"/>
    <w:rPr>
      <w:rFonts w:asciiTheme="majorHAnsi" w:eastAsiaTheme="majorEastAsia" w:hAnsiTheme="majorHAnsi" w:cstheme="majorBidi"/>
      <w:color w:val="2E74B5" w:themeColor="accent1" w:themeShade="BF"/>
      <w:sz w:val="26"/>
      <w:szCs w:val="26"/>
      <w:lang w:eastAsia="en-GB"/>
    </w:rPr>
  </w:style>
  <w:style w:type="paragraph" w:styleId="List2">
    <w:name w:val="List 2"/>
    <w:basedOn w:val="Normal"/>
    <w:uiPriority w:val="99"/>
    <w:unhideWhenUsed/>
    <w:rsid w:val="00691985"/>
    <w:pPr>
      <w:ind w:left="566" w:hanging="283"/>
      <w:contextualSpacing/>
    </w:pPr>
  </w:style>
  <w:style w:type="paragraph" w:styleId="BodyText">
    <w:name w:val="Body Text"/>
    <w:basedOn w:val="Normal"/>
    <w:link w:val="BodyTextChar"/>
    <w:uiPriority w:val="99"/>
    <w:unhideWhenUsed/>
    <w:rsid w:val="00691985"/>
    <w:pPr>
      <w:spacing w:after="120"/>
    </w:pPr>
  </w:style>
  <w:style w:type="character" w:customStyle="1" w:styleId="BodyTextChar">
    <w:name w:val="Body Text Char"/>
    <w:basedOn w:val="DefaultParagraphFont"/>
    <w:link w:val="BodyText"/>
    <w:uiPriority w:val="99"/>
    <w:rsid w:val="00691985"/>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2094543444">
      <w:bodyDiv w:val="1"/>
      <w:marLeft w:val="0"/>
      <w:marRight w:val="0"/>
      <w:marTop w:val="0"/>
      <w:marBottom w:val="0"/>
      <w:divBdr>
        <w:top w:val="none" w:sz="0" w:space="0" w:color="auto"/>
        <w:left w:val="none" w:sz="0" w:space="0" w:color="auto"/>
        <w:bottom w:val="none" w:sz="0" w:space="0" w:color="auto"/>
        <w:right w:val="none" w:sz="0" w:space="0" w:color="auto"/>
      </w:divBdr>
      <w:divsChild>
        <w:div w:id="1180123447">
          <w:marLeft w:val="1166"/>
          <w:marRight w:val="0"/>
          <w:marTop w:val="106"/>
          <w:marBottom w:val="0"/>
          <w:divBdr>
            <w:top w:val="none" w:sz="0" w:space="0" w:color="auto"/>
            <w:left w:val="none" w:sz="0" w:space="0" w:color="auto"/>
            <w:bottom w:val="none" w:sz="0" w:space="0" w:color="auto"/>
            <w:right w:val="none" w:sz="0" w:space="0" w:color="auto"/>
          </w:divBdr>
        </w:div>
        <w:div w:id="1518694292">
          <w:marLeft w:val="1166"/>
          <w:marRight w:val="0"/>
          <w:marTop w:val="106"/>
          <w:marBottom w:val="0"/>
          <w:divBdr>
            <w:top w:val="none" w:sz="0" w:space="0" w:color="auto"/>
            <w:left w:val="none" w:sz="0" w:space="0" w:color="auto"/>
            <w:bottom w:val="none" w:sz="0" w:space="0" w:color="auto"/>
            <w:right w:val="none" w:sz="0" w:space="0" w:color="auto"/>
          </w:divBdr>
        </w:div>
        <w:div w:id="1545482793">
          <w:marLeft w:val="1166"/>
          <w:marRight w:val="0"/>
          <w:marTop w:val="106"/>
          <w:marBottom w:val="0"/>
          <w:divBdr>
            <w:top w:val="none" w:sz="0" w:space="0" w:color="auto"/>
            <w:left w:val="none" w:sz="0" w:space="0" w:color="auto"/>
            <w:bottom w:val="none" w:sz="0" w:space="0" w:color="auto"/>
            <w:right w:val="none" w:sz="0" w:space="0" w:color="auto"/>
          </w:divBdr>
        </w:div>
        <w:div w:id="2124419787">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ocal.gov.uk/parliament/briefings-and-responses/201920-provisional-local-government-finance-settlement-respon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icola.morton@local.gov.uk" TargetMode="External"/><Relationship Id="rId17" Type="http://schemas.openxmlformats.org/officeDocument/2006/relationships/hyperlink" Target="https://www.local.gov.uk/parliament/briefings-and-responses/provisional-local-government-finance-settlement-201920-day"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local.gov.uk/about/news/response-local-government-finance-settlement" TargetMode="External"/><Relationship Id="rId20" Type="http://schemas.openxmlformats.org/officeDocument/2006/relationships/hyperlink" Target="https://www.local.gov.uk/parliament/briefings-and-responses/use-receipts-right-buy-sales-consultation-respo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ublications.parliament.uk/pa/cm201719/cmselect/cmpubacc/970/9700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fee2a8c26de6a3b85f0172e229f03d4f">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dd19c0a17886a51eabbce896d97cc9e3"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E7E9-A63D-4D62-A528-2344100EE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846c3db3-041b-47fd-b02b-1debea70191d"/>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33320922-3aa3-40cb-b26e-1bfebf933094"/>
  </ds:schemaRefs>
</ds:datastoreItem>
</file>

<file path=customXml/itemProps4.xml><?xml version="1.0" encoding="utf-8"?>
<ds:datastoreItem xmlns:ds="http://schemas.openxmlformats.org/officeDocument/2006/customXml" ds:itemID="{75CFE692-8326-4A57-99FA-1DBB772A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D6D8FEC9</Template>
  <TotalTime>13</TotalTime>
  <Pages>6</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7</cp:revision>
  <dcterms:created xsi:type="dcterms:W3CDTF">2019-01-11T09:46:00Z</dcterms:created>
  <dcterms:modified xsi:type="dcterms:W3CDTF">2019-01-17T16:25:00Z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